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2"/>
        <w:jc w:val="center"/>
        <w:rPr>
          <w:b/>
          <w:bCs/>
          <w:sz w:val="28"/>
          <w:szCs w:val="28"/>
        </w:rPr>
      </w:pPr>
      <w:r>
        <w:rPr>
          <w:rFonts w:hint="eastAsia"/>
          <w:b/>
          <w:bCs/>
          <w:sz w:val="28"/>
          <w:szCs w:val="28"/>
        </w:rPr>
        <w:t>《炼钢区域机器人系统安全要求》</w:t>
      </w:r>
    </w:p>
    <w:p>
      <w:pPr>
        <w:ind w:firstLine="562"/>
        <w:jc w:val="center"/>
        <w:rPr>
          <w:b/>
          <w:bCs/>
          <w:sz w:val="28"/>
          <w:szCs w:val="28"/>
        </w:rPr>
      </w:pPr>
      <w:r>
        <w:rPr>
          <w:rFonts w:hint="eastAsia"/>
          <w:b/>
          <w:bCs/>
          <w:sz w:val="28"/>
          <w:szCs w:val="28"/>
        </w:rPr>
        <w:t>编制说明</w:t>
      </w:r>
    </w:p>
    <w:p>
      <w:pPr>
        <w:ind w:firstLine="0" w:firstLineChars="0"/>
        <w:rPr>
          <w:sz w:val="28"/>
          <w:szCs w:val="28"/>
        </w:rPr>
      </w:pPr>
      <w:r>
        <w:rPr>
          <w:rFonts w:hint="eastAsia"/>
          <w:sz w:val="28"/>
          <w:szCs w:val="28"/>
        </w:rPr>
        <w:t>（一）工作简况，包括任务来源、主要工作过程、主要参加单位和工作组成员及其所做的工作等；</w:t>
      </w:r>
    </w:p>
    <w:p>
      <w:pPr>
        <w:pStyle w:val="2"/>
        <w:numPr>
          <w:ilvl w:val="0"/>
          <w:numId w:val="2"/>
        </w:numPr>
      </w:pPr>
      <w:r>
        <w:rPr>
          <w:rFonts w:hint="eastAsia"/>
        </w:rPr>
        <w:t>任务来源</w:t>
      </w:r>
    </w:p>
    <w:p>
      <w:pPr>
        <w:ind w:firstLine="480"/>
        <w:rPr>
          <w:rFonts w:hint="eastAsia"/>
        </w:rPr>
      </w:pPr>
      <w:r>
        <w:rPr>
          <w:rFonts w:hint="eastAsia"/>
          <w:color w:val="000000"/>
        </w:rPr>
        <w:t>本</w:t>
      </w:r>
      <w:r>
        <w:rPr>
          <w:color w:val="000000"/>
        </w:rPr>
        <w:t>标准</w:t>
      </w:r>
      <w:r>
        <w:rPr>
          <w:rFonts w:hint="eastAsia"/>
          <w:color w:val="000000"/>
        </w:rPr>
        <w:t>由</w:t>
      </w:r>
      <w:r>
        <w:rPr>
          <w:rFonts w:hint="eastAsia"/>
        </w:rPr>
        <w:t>宝山钢铁股份有限公司</w:t>
      </w:r>
      <w:r>
        <w:rPr>
          <w:rFonts w:hint="eastAsia"/>
          <w:color w:val="000000"/>
        </w:rPr>
        <w:t>提出并归口，经过中国金属学会智能制造标准化技术委员会审核</w:t>
      </w:r>
      <w:r>
        <w:rPr>
          <w:rFonts w:hint="eastAsia"/>
        </w:rPr>
        <w:t>。计划完成时间为</w:t>
      </w:r>
      <w:r>
        <w:t>2020</w:t>
      </w:r>
      <w:r>
        <w:rPr>
          <w:rFonts w:hint="eastAsia"/>
        </w:rPr>
        <w:t>年1</w:t>
      </w:r>
      <w:r>
        <w:t>2</w:t>
      </w:r>
      <w:r>
        <w:rPr>
          <w:rFonts w:hint="eastAsia"/>
        </w:rPr>
        <w:t>月。</w:t>
      </w:r>
    </w:p>
    <w:p>
      <w:pPr>
        <w:pStyle w:val="2"/>
        <w:numPr>
          <w:ilvl w:val="0"/>
          <w:numId w:val="2"/>
        </w:numPr>
      </w:pPr>
      <w:r>
        <w:rPr>
          <w:rFonts w:hint="eastAsia"/>
        </w:rPr>
        <w:t>主要工作过程</w:t>
      </w:r>
    </w:p>
    <w:p>
      <w:pPr>
        <w:ind w:firstLine="480"/>
      </w:pPr>
      <w:r>
        <w:rPr>
          <w:rFonts w:hint="eastAsia"/>
        </w:rPr>
        <w:t>标准编制期间，其主要工作过程如下：</w:t>
      </w:r>
    </w:p>
    <w:p>
      <w:pPr>
        <w:pStyle w:val="21"/>
        <w:numPr>
          <w:ilvl w:val="0"/>
          <w:numId w:val="3"/>
        </w:numPr>
        <w:ind w:firstLineChars="0"/>
        <w:rPr>
          <w:sz w:val="24"/>
          <w:szCs w:val="28"/>
        </w:rPr>
      </w:pPr>
      <w:r>
        <w:rPr>
          <w:rFonts w:hint="eastAsia"/>
          <w:sz w:val="24"/>
          <w:szCs w:val="28"/>
          <w:lang w:val="en-US" w:eastAsia="zh-CN"/>
        </w:rPr>
        <w:t>2</w:t>
      </w:r>
      <w:r>
        <w:rPr>
          <w:sz w:val="24"/>
          <w:szCs w:val="28"/>
        </w:rPr>
        <w:t>018</w:t>
      </w:r>
      <w:r>
        <w:rPr>
          <w:rFonts w:hint="eastAsia"/>
          <w:sz w:val="24"/>
          <w:szCs w:val="28"/>
        </w:rPr>
        <w:t>年1</w:t>
      </w:r>
      <w:r>
        <w:rPr>
          <w:sz w:val="24"/>
          <w:szCs w:val="28"/>
        </w:rPr>
        <w:t>0</w:t>
      </w:r>
      <w:r>
        <w:rPr>
          <w:rFonts w:hint="eastAsia"/>
          <w:sz w:val="24"/>
          <w:szCs w:val="28"/>
        </w:rPr>
        <w:t>月~</w:t>
      </w:r>
      <w:r>
        <w:rPr>
          <w:sz w:val="24"/>
          <w:szCs w:val="28"/>
        </w:rPr>
        <w:t>2019</w:t>
      </w:r>
      <w:r>
        <w:rPr>
          <w:rFonts w:hint="eastAsia"/>
          <w:sz w:val="24"/>
          <w:szCs w:val="28"/>
        </w:rPr>
        <w:t>年</w:t>
      </w:r>
      <w:r>
        <w:rPr>
          <w:sz w:val="24"/>
          <w:szCs w:val="28"/>
        </w:rPr>
        <w:t>2</w:t>
      </w:r>
      <w:r>
        <w:rPr>
          <w:rFonts w:hint="eastAsia"/>
          <w:sz w:val="24"/>
          <w:szCs w:val="28"/>
        </w:rPr>
        <w:t>月，标准主要牵头单位宝山钢铁股份有限公司调研机器人相关安全标准及炼钢区域安全标准，并广泛收集并检索了国内外相关标准及文献资料。</w:t>
      </w:r>
    </w:p>
    <w:p>
      <w:pPr>
        <w:pStyle w:val="21"/>
        <w:numPr>
          <w:ilvl w:val="0"/>
          <w:numId w:val="3"/>
        </w:numPr>
        <w:ind w:firstLineChars="0"/>
        <w:rPr>
          <w:sz w:val="24"/>
          <w:szCs w:val="28"/>
        </w:rPr>
      </w:pPr>
      <w:r>
        <w:rPr>
          <w:rFonts w:hint="eastAsia"/>
          <w:sz w:val="24"/>
          <w:szCs w:val="28"/>
        </w:rPr>
        <w:t>2</w:t>
      </w:r>
      <w:r>
        <w:rPr>
          <w:sz w:val="24"/>
          <w:szCs w:val="28"/>
        </w:rPr>
        <w:t>019</w:t>
      </w:r>
      <w:r>
        <w:rPr>
          <w:rFonts w:hint="eastAsia"/>
          <w:sz w:val="24"/>
          <w:szCs w:val="28"/>
        </w:rPr>
        <w:t>年3月~</w:t>
      </w:r>
      <w:r>
        <w:rPr>
          <w:sz w:val="24"/>
          <w:szCs w:val="28"/>
        </w:rPr>
        <w:t>2019</w:t>
      </w:r>
      <w:r>
        <w:rPr>
          <w:rFonts w:hint="eastAsia"/>
          <w:sz w:val="24"/>
          <w:szCs w:val="28"/>
        </w:rPr>
        <w:t>年9月，宝山钢铁股份有限公司对外征集并组建标准起草工作组，并确定了标准的框架初稿，发送工作组成员，工作组成员通过邮件方式对标准草案提出修改意见。</w:t>
      </w:r>
    </w:p>
    <w:p>
      <w:pPr>
        <w:pStyle w:val="21"/>
        <w:numPr>
          <w:ilvl w:val="0"/>
          <w:numId w:val="3"/>
        </w:numPr>
        <w:ind w:firstLineChars="0"/>
        <w:rPr>
          <w:sz w:val="24"/>
          <w:szCs w:val="28"/>
        </w:rPr>
      </w:pPr>
      <w:r>
        <w:rPr>
          <w:rFonts w:hint="eastAsia"/>
          <w:sz w:val="24"/>
          <w:szCs w:val="28"/>
        </w:rPr>
        <w:t>2</w:t>
      </w:r>
      <w:r>
        <w:rPr>
          <w:sz w:val="24"/>
          <w:szCs w:val="28"/>
        </w:rPr>
        <w:t>019</w:t>
      </w:r>
      <w:r>
        <w:rPr>
          <w:rFonts w:hint="eastAsia"/>
          <w:sz w:val="24"/>
          <w:szCs w:val="28"/>
        </w:rPr>
        <w:t>年1</w:t>
      </w:r>
      <w:r>
        <w:rPr>
          <w:sz w:val="24"/>
          <w:szCs w:val="28"/>
        </w:rPr>
        <w:t>0</w:t>
      </w:r>
      <w:r>
        <w:rPr>
          <w:rFonts w:hint="eastAsia"/>
          <w:sz w:val="24"/>
          <w:szCs w:val="28"/>
        </w:rPr>
        <w:t>月，标准牵头单位组织召开标准工作组线上会议，对标准草案进行了深入讨论，并对关键内容进行撰写任务分工。</w:t>
      </w:r>
    </w:p>
    <w:p>
      <w:pPr>
        <w:pStyle w:val="21"/>
        <w:numPr>
          <w:ilvl w:val="0"/>
          <w:numId w:val="3"/>
        </w:numPr>
        <w:ind w:firstLineChars="0"/>
        <w:rPr>
          <w:sz w:val="24"/>
          <w:szCs w:val="28"/>
        </w:rPr>
      </w:pPr>
      <w:r>
        <w:rPr>
          <w:rFonts w:hint="eastAsia"/>
          <w:sz w:val="24"/>
          <w:szCs w:val="28"/>
        </w:rPr>
        <w:t>2</w:t>
      </w:r>
      <w:r>
        <w:rPr>
          <w:sz w:val="24"/>
          <w:szCs w:val="28"/>
        </w:rPr>
        <w:t>020</w:t>
      </w:r>
      <w:r>
        <w:rPr>
          <w:rFonts w:hint="eastAsia"/>
          <w:sz w:val="24"/>
          <w:szCs w:val="28"/>
        </w:rPr>
        <w:t>年1</w:t>
      </w:r>
      <w:r>
        <w:rPr>
          <w:sz w:val="24"/>
          <w:szCs w:val="28"/>
        </w:rPr>
        <w:t>1</w:t>
      </w:r>
      <w:r>
        <w:rPr>
          <w:rFonts w:hint="eastAsia"/>
          <w:sz w:val="24"/>
          <w:szCs w:val="28"/>
        </w:rPr>
        <w:t>月~</w:t>
      </w:r>
      <w:r>
        <w:rPr>
          <w:sz w:val="24"/>
          <w:szCs w:val="28"/>
        </w:rPr>
        <w:t>2020</w:t>
      </w:r>
      <w:r>
        <w:rPr>
          <w:rFonts w:hint="eastAsia"/>
          <w:sz w:val="24"/>
          <w:szCs w:val="28"/>
        </w:rPr>
        <w:t>年3月，工作组成员通过邮件形式反馈各自的任务进展，标准牵头单位整理，形成内容讨论稿。</w:t>
      </w:r>
    </w:p>
    <w:p>
      <w:pPr>
        <w:pStyle w:val="21"/>
        <w:numPr>
          <w:ilvl w:val="0"/>
          <w:numId w:val="3"/>
        </w:numPr>
        <w:ind w:firstLineChars="0"/>
        <w:rPr>
          <w:rFonts w:hint="eastAsia"/>
          <w:sz w:val="24"/>
          <w:szCs w:val="28"/>
        </w:rPr>
      </w:pPr>
      <w:r>
        <w:rPr>
          <w:rFonts w:hint="eastAsia"/>
          <w:sz w:val="24"/>
          <w:szCs w:val="28"/>
        </w:rPr>
        <w:t>2</w:t>
      </w:r>
      <w:r>
        <w:rPr>
          <w:sz w:val="24"/>
          <w:szCs w:val="28"/>
        </w:rPr>
        <w:t>020</w:t>
      </w:r>
      <w:r>
        <w:rPr>
          <w:rFonts w:hint="eastAsia"/>
          <w:sz w:val="24"/>
          <w:szCs w:val="28"/>
        </w:rPr>
        <w:t>年4月~</w:t>
      </w:r>
      <w:r>
        <w:rPr>
          <w:sz w:val="24"/>
          <w:szCs w:val="28"/>
        </w:rPr>
        <w:t>2020</w:t>
      </w:r>
      <w:r>
        <w:rPr>
          <w:rFonts w:hint="eastAsia"/>
          <w:sz w:val="24"/>
          <w:szCs w:val="28"/>
        </w:rPr>
        <w:t>年</w:t>
      </w:r>
      <w:r>
        <w:rPr>
          <w:rFonts w:hint="eastAsia"/>
          <w:sz w:val="24"/>
          <w:szCs w:val="28"/>
          <w:lang w:val="en-US" w:eastAsia="zh-CN"/>
        </w:rPr>
        <w:t>8</w:t>
      </w:r>
      <w:r>
        <w:rPr>
          <w:rFonts w:hint="eastAsia"/>
          <w:sz w:val="24"/>
          <w:szCs w:val="28"/>
        </w:rPr>
        <w:t>月，标准牵头单位将内容讨论稿发送工作组成员，征求修改意见，标准牵头单位结合工作组成员反馈意见对标准进行了修改与完善，并形成标准征求意见稿。</w:t>
      </w:r>
    </w:p>
    <w:p>
      <w:pPr>
        <w:pStyle w:val="21"/>
        <w:numPr>
          <w:ilvl w:val="0"/>
          <w:numId w:val="3"/>
        </w:numPr>
        <w:ind w:firstLineChars="0"/>
        <w:rPr>
          <w:rFonts w:hint="eastAsia"/>
          <w:sz w:val="24"/>
          <w:szCs w:val="28"/>
        </w:rPr>
      </w:pPr>
      <w:r>
        <w:rPr>
          <w:sz w:val="24"/>
          <w:szCs w:val="28"/>
        </w:rPr>
        <w:t>2020</w:t>
      </w:r>
      <w:r>
        <w:rPr>
          <w:rFonts w:hint="eastAsia"/>
          <w:sz w:val="24"/>
          <w:szCs w:val="28"/>
        </w:rPr>
        <w:t>年</w:t>
      </w:r>
      <w:r>
        <w:rPr>
          <w:rFonts w:hint="eastAsia"/>
          <w:sz w:val="24"/>
          <w:szCs w:val="28"/>
          <w:lang w:val="en-US" w:eastAsia="zh-CN"/>
        </w:rPr>
        <w:t>8</w:t>
      </w:r>
      <w:r>
        <w:rPr>
          <w:rFonts w:hint="eastAsia"/>
          <w:sz w:val="24"/>
          <w:szCs w:val="28"/>
        </w:rPr>
        <w:t>月</w:t>
      </w:r>
      <w:r>
        <w:rPr>
          <w:rFonts w:hint="eastAsia"/>
          <w:sz w:val="24"/>
          <w:szCs w:val="28"/>
          <w:lang w:val="en-US" w:eastAsia="zh-CN"/>
        </w:rPr>
        <w:t>~2020年11月，标准征求意见稿优化及校对。</w:t>
      </w:r>
    </w:p>
    <w:p>
      <w:pPr>
        <w:pStyle w:val="2"/>
        <w:numPr>
          <w:ilvl w:val="0"/>
          <w:numId w:val="2"/>
        </w:numPr>
      </w:pPr>
      <w:r>
        <w:rPr>
          <w:rFonts w:hint="eastAsia"/>
        </w:rPr>
        <w:t>主要参加单位及工作组成员</w:t>
      </w:r>
    </w:p>
    <w:p>
      <w:pPr>
        <w:ind w:firstLine="480"/>
        <w:rPr>
          <w:rFonts w:hint="eastAsia"/>
        </w:rPr>
      </w:pPr>
      <w:r>
        <w:rPr>
          <w:color w:val="000000"/>
        </w:rPr>
        <w:t>本标准起草单位</w:t>
      </w:r>
      <w:r>
        <w:rPr>
          <w:rFonts w:hint="eastAsia"/>
          <w:color w:val="000000"/>
        </w:rPr>
        <w:t>有</w:t>
      </w:r>
      <w:r>
        <w:rPr>
          <w:rFonts w:hint="eastAsia"/>
        </w:rPr>
        <w:t>宝山钢铁股份有限公司、哈尔滨工业大学</w:t>
      </w:r>
      <w:r>
        <w:rPr>
          <w:rFonts w:hint="eastAsia"/>
          <w:lang w:eastAsia="zh-CN"/>
        </w:rPr>
        <w:t>、</w:t>
      </w:r>
      <w:r>
        <w:rPr>
          <w:rFonts w:hint="eastAsia"/>
        </w:rPr>
        <w:t>上海电器科学研究所（集团）有限公司。</w:t>
      </w:r>
    </w:p>
    <w:p>
      <w:pPr>
        <w:ind w:firstLine="480"/>
        <w:rPr>
          <w:rFonts w:hint="eastAsia" w:eastAsia="宋体"/>
          <w:lang w:val="en-US" w:eastAsia="zh-CN"/>
        </w:rPr>
      </w:pPr>
      <w:r>
        <w:rPr>
          <w:rFonts w:hint="eastAsia"/>
        </w:rPr>
        <w:t>工作组成员</w:t>
      </w:r>
      <w:r>
        <w:rPr>
          <w:rFonts w:hint="eastAsia"/>
          <w:lang w:val="en-US" w:eastAsia="zh-CN"/>
        </w:rPr>
        <w:t>有</w:t>
      </w:r>
      <w:r>
        <w:rPr>
          <w:rFonts w:hint="eastAsia"/>
        </w:rPr>
        <w:t>吴瑞珉、丁烨、</w:t>
      </w:r>
      <w:r>
        <w:rPr>
          <w:rFonts w:hint="eastAsia"/>
          <w:lang w:val="en-US" w:eastAsia="zh-CN"/>
        </w:rPr>
        <w:t>赵杰、</w:t>
      </w:r>
      <w:r>
        <w:rPr>
          <w:rFonts w:hint="eastAsia"/>
        </w:rPr>
        <w:t>朱晓鹏、刘玉斌、宋希韬、陈凯、叶长宏、魏振红、黄天茂、杨赛丹</w:t>
      </w:r>
      <w:r>
        <w:t>、申晨</w:t>
      </w:r>
      <w:r>
        <w:rPr>
          <w:rFonts w:hint="eastAsia"/>
        </w:rPr>
        <w:t>。</w:t>
      </w:r>
      <w:bookmarkStart w:id="0" w:name="_GoBack"/>
      <w:bookmarkEnd w:id="0"/>
    </w:p>
    <w:p>
      <w:pPr>
        <w:ind w:firstLine="0" w:firstLineChars="0"/>
        <w:rPr>
          <w:sz w:val="28"/>
          <w:szCs w:val="28"/>
        </w:rPr>
      </w:pPr>
      <w:r>
        <w:rPr>
          <w:rFonts w:hint="eastAsia"/>
          <w:sz w:val="28"/>
          <w:szCs w:val="28"/>
        </w:rPr>
        <w:t>（二）标准编制原则和主要内容（如技术指标、参数、公式、性能要求、试验方法、检验规则等）的论据，解决的主要问题，修订标准时应列出与原标准的主要差异和水平对比；</w:t>
      </w:r>
    </w:p>
    <w:p>
      <w:pPr>
        <w:pStyle w:val="3"/>
        <w:numPr>
          <w:ilvl w:val="1"/>
          <w:numId w:val="4"/>
        </w:numPr>
      </w:pPr>
      <w:r>
        <w:rPr>
          <w:rFonts w:hint="eastAsia"/>
        </w:rPr>
        <w:t>标准编制原则</w:t>
      </w:r>
    </w:p>
    <w:p>
      <w:pPr>
        <w:ind w:firstLine="480"/>
        <w:rPr>
          <w:rFonts w:hint="eastAsia"/>
        </w:rPr>
      </w:pPr>
      <w:r>
        <w:rPr>
          <w:rFonts w:hint="eastAsia"/>
        </w:rPr>
        <w:t>标准编制遵循“统一性、适用性、一致性、规范性”的原则，注重标准的可操作性。本标准编写是执行</w:t>
      </w:r>
      <w:r>
        <w:rPr>
          <w:rFonts w:hint="eastAsia"/>
          <w:color w:val="000000"/>
        </w:rPr>
        <w:t>GB/T 1.1-2020</w:t>
      </w:r>
      <w:r>
        <w:rPr>
          <w:rFonts w:hint="eastAsia"/>
        </w:rPr>
        <w:t>《标准化工作导则 第1部分：标准的结构和编写》。</w:t>
      </w:r>
    </w:p>
    <w:p>
      <w:pPr>
        <w:pStyle w:val="3"/>
        <w:numPr>
          <w:ilvl w:val="1"/>
          <w:numId w:val="4"/>
        </w:numPr>
      </w:pPr>
      <w:r>
        <w:rPr>
          <w:rFonts w:hint="eastAsia"/>
        </w:rPr>
        <w:t>标准的主要内容</w:t>
      </w:r>
    </w:p>
    <w:p>
      <w:pPr>
        <w:ind w:firstLine="480"/>
      </w:pPr>
      <w:r>
        <w:rPr>
          <w:rFonts w:hint="eastAsia"/>
        </w:rPr>
        <w:t>除了标准的规范性要素（范围、规范性引用文件、术语和定义等）外，本标准的正文部分主要内容包括</w:t>
      </w:r>
    </w:p>
    <w:p>
      <w:pPr>
        <w:pStyle w:val="21"/>
        <w:numPr>
          <w:ilvl w:val="0"/>
          <w:numId w:val="5"/>
        </w:numPr>
        <w:ind w:firstLineChars="0"/>
        <w:rPr>
          <w:sz w:val="24"/>
          <w:szCs w:val="28"/>
        </w:rPr>
      </w:pPr>
      <w:r>
        <w:rPr>
          <w:rFonts w:hint="eastAsia"/>
          <w:sz w:val="24"/>
          <w:szCs w:val="28"/>
        </w:rPr>
        <w:t>第4章</w:t>
      </w:r>
      <w:r>
        <w:rPr>
          <w:sz w:val="24"/>
          <w:szCs w:val="28"/>
        </w:rPr>
        <w:t xml:space="preserve"> </w:t>
      </w:r>
      <w:r>
        <w:rPr>
          <w:rFonts w:hint="eastAsia"/>
          <w:sz w:val="24"/>
          <w:szCs w:val="28"/>
        </w:rPr>
        <w:t>危险识别与风险评估</w:t>
      </w:r>
    </w:p>
    <w:p>
      <w:pPr>
        <w:pStyle w:val="21"/>
        <w:numPr>
          <w:ilvl w:val="0"/>
          <w:numId w:val="5"/>
        </w:numPr>
        <w:ind w:firstLineChars="0"/>
        <w:rPr>
          <w:sz w:val="24"/>
          <w:szCs w:val="28"/>
        </w:rPr>
      </w:pPr>
      <w:r>
        <w:rPr>
          <w:rFonts w:hint="eastAsia"/>
          <w:sz w:val="24"/>
          <w:szCs w:val="28"/>
        </w:rPr>
        <w:t>第5章 设计要求及保护措施</w:t>
      </w:r>
    </w:p>
    <w:p>
      <w:pPr>
        <w:pStyle w:val="21"/>
        <w:numPr>
          <w:ilvl w:val="0"/>
          <w:numId w:val="5"/>
        </w:numPr>
        <w:ind w:firstLineChars="0"/>
        <w:rPr>
          <w:sz w:val="24"/>
          <w:szCs w:val="28"/>
        </w:rPr>
      </w:pPr>
      <w:r>
        <w:rPr>
          <w:rFonts w:hint="eastAsia"/>
          <w:sz w:val="24"/>
          <w:szCs w:val="28"/>
        </w:rPr>
        <w:t>第6章 使用信息</w:t>
      </w:r>
    </w:p>
    <w:p>
      <w:pPr>
        <w:pStyle w:val="21"/>
        <w:numPr>
          <w:ilvl w:val="0"/>
          <w:numId w:val="5"/>
        </w:numPr>
        <w:ind w:firstLineChars="0"/>
        <w:rPr>
          <w:sz w:val="24"/>
          <w:szCs w:val="28"/>
        </w:rPr>
      </w:pPr>
      <w:r>
        <w:rPr>
          <w:rFonts w:hint="eastAsia"/>
          <w:sz w:val="24"/>
          <w:szCs w:val="28"/>
        </w:rPr>
        <w:t>附录A</w:t>
      </w:r>
      <w:r>
        <w:rPr>
          <w:sz w:val="24"/>
          <w:szCs w:val="28"/>
        </w:rPr>
        <w:t xml:space="preserve"> </w:t>
      </w:r>
      <w:r>
        <w:rPr>
          <w:rFonts w:hint="eastAsia"/>
          <w:sz w:val="24"/>
          <w:szCs w:val="28"/>
        </w:rPr>
        <w:t>（资料性附录） 炼钢区域典型机器人应用</w:t>
      </w:r>
    </w:p>
    <w:p>
      <w:pPr>
        <w:pStyle w:val="21"/>
        <w:numPr>
          <w:ilvl w:val="0"/>
          <w:numId w:val="5"/>
        </w:numPr>
        <w:ind w:firstLineChars="0"/>
        <w:rPr>
          <w:rFonts w:hint="eastAsia"/>
          <w:sz w:val="24"/>
          <w:szCs w:val="28"/>
        </w:rPr>
      </w:pPr>
      <w:r>
        <w:rPr>
          <w:rFonts w:hint="eastAsia"/>
          <w:sz w:val="24"/>
          <w:szCs w:val="28"/>
        </w:rPr>
        <w:t>附录B</w:t>
      </w:r>
      <w:r>
        <w:rPr>
          <w:sz w:val="24"/>
          <w:szCs w:val="28"/>
        </w:rPr>
        <w:t xml:space="preserve"> </w:t>
      </w:r>
      <w:r>
        <w:rPr>
          <w:rFonts w:hint="eastAsia"/>
          <w:sz w:val="24"/>
          <w:szCs w:val="28"/>
        </w:rPr>
        <w:t>（规范性附录） 重大危险列表</w:t>
      </w:r>
    </w:p>
    <w:p>
      <w:pPr>
        <w:pStyle w:val="21"/>
        <w:numPr>
          <w:ilvl w:val="0"/>
          <w:numId w:val="5"/>
        </w:numPr>
        <w:ind w:firstLineChars="0"/>
        <w:rPr>
          <w:rFonts w:hint="eastAsia"/>
          <w:sz w:val="24"/>
          <w:szCs w:val="28"/>
        </w:rPr>
      </w:pPr>
      <w:r>
        <w:rPr>
          <w:rFonts w:hint="eastAsia"/>
          <w:sz w:val="24"/>
          <w:szCs w:val="28"/>
        </w:rPr>
        <w:t>附录</w:t>
      </w:r>
      <w:r>
        <w:rPr>
          <w:rFonts w:hint="eastAsia"/>
          <w:sz w:val="24"/>
          <w:szCs w:val="28"/>
          <w:lang w:val="en-US" w:eastAsia="zh-CN"/>
        </w:rPr>
        <w:t xml:space="preserve">C </w:t>
      </w:r>
      <w:r>
        <w:rPr>
          <w:rFonts w:hint="eastAsia"/>
          <w:sz w:val="24"/>
          <w:szCs w:val="28"/>
        </w:rPr>
        <w:t>（资料性附录）</w:t>
      </w:r>
      <w:r>
        <w:rPr>
          <w:rFonts w:hint="eastAsia"/>
          <w:sz w:val="24"/>
          <w:szCs w:val="28"/>
          <w:lang w:val="en-US" w:eastAsia="zh-CN"/>
        </w:rPr>
        <w:t xml:space="preserve"> KR机器人系统组成</w:t>
      </w:r>
    </w:p>
    <w:p>
      <w:pPr>
        <w:pStyle w:val="3"/>
        <w:numPr>
          <w:ilvl w:val="1"/>
          <w:numId w:val="4"/>
        </w:numPr>
      </w:pPr>
      <w:r>
        <w:rPr>
          <w:rFonts w:hint="eastAsia"/>
        </w:rPr>
        <w:t>解决的主要问题</w:t>
      </w:r>
    </w:p>
    <w:p>
      <w:pPr>
        <w:ind w:firstLine="480"/>
        <w:rPr>
          <w:rFonts w:hint="eastAsia"/>
        </w:rPr>
      </w:pPr>
      <w:r>
        <w:rPr>
          <w:rFonts w:hint="eastAsia"/>
        </w:rPr>
        <w:t>炼钢区域机器人智能化应用，不仅能实现高危、高负荷作业的人工替代，解决行业长期困扰的安全作业问题，同时能支撑可观测、可度量、可追溯的全流程质量一贯制，满足精准化工艺投入的提质增效需求，提升我国炼钢智能制造水平。</w:t>
      </w:r>
    </w:p>
    <w:p>
      <w:pPr>
        <w:ind w:firstLine="480"/>
        <w:rPr>
          <w:rFonts w:hint="eastAsia"/>
        </w:rPr>
      </w:pPr>
      <w:r>
        <w:rPr>
          <w:rFonts w:hint="eastAsia"/>
        </w:rPr>
        <w:t>不同于普通工业应用环境，炼钢区域机器人系统面临高温、粉尘及钢液飞溅等极端恶劣工况，机器人系统的安全性及可靠性是实现其推广应用的关键。</w:t>
      </w:r>
    </w:p>
    <w:p>
      <w:pPr>
        <w:ind w:firstLine="480"/>
      </w:pPr>
      <w:r>
        <w:rPr>
          <w:rFonts w:hint="eastAsia"/>
        </w:rPr>
        <w:t>在工业环境机器人、系统及集成的安全要求基础上，结合炼钢区域特殊的严苛工作环境，制定炼钢区域机器人系统的安全标准，规范机器人系统的设计及应用，在提高机器人系统在恶劣环境下的安全性及可靠性的同时，最大限度地降低同平台人员暴露于危险的概率，从而减小潜在危险造成的风险。</w:t>
      </w:r>
    </w:p>
    <w:p>
      <w:pPr>
        <w:ind w:firstLine="0" w:firstLineChars="0"/>
        <w:rPr>
          <w:sz w:val="28"/>
          <w:szCs w:val="28"/>
        </w:rPr>
      </w:pPr>
      <w:r>
        <w:rPr>
          <w:rFonts w:hint="eastAsia"/>
          <w:sz w:val="28"/>
          <w:szCs w:val="28"/>
        </w:rPr>
        <w:t>（三）主要试验（或验证）情况分析；</w:t>
      </w:r>
    </w:p>
    <w:p>
      <w:pPr>
        <w:ind w:firstLine="480"/>
        <w:rPr>
          <w:rFonts w:hint="eastAsia"/>
        </w:rPr>
      </w:pPr>
      <w:r>
        <w:rPr>
          <w:rFonts w:hint="eastAsia"/>
        </w:rPr>
        <w:t>无</w:t>
      </w:r>
    </w:p>
    <w:p>
      <w:pPr>
        <w:ind w:firstLine="0" w:firstLineChars="0"/>
        <w:rPr>
          <w:sz w:val="28"/>
          <w:szCs w:val="28"/>
        </w:rPr>
      </w:pPr>
      <w:r>
        <w:rPr>
          <w:rFonts w:hint="eastAsia"/>
          <w:sz w:val="28"/>
          <w:szCs w:val="28"/>
        </w:rPr>
        <w:t>（四）标准中如果涉及专利，应有明确的知识产权说明；</w:t>
      </w:r>
    </w:p>
    <w:p>
      <w:pPr>
        <w:ind w:firstLine="480"/>
      </w:pPr>
      <w:r>
        <w:rPr>
          <w:rFonts w:hint="eastAsia"/>
        </w:rPr>
        <w:t>标准中没有涉及专利和相关知识产权问题。</w:t>
      </w:r>
    </w:p>
    <w:p>
      <w:pPr>
        <w:ind w:firstLine="0" w:firstLineChars="0"/>
        <w:rPr>
          <w:sz w:val="28"/>
          <w:szCs w:val="28"/>
        </w:rPr>
      </w:pPr>
      <w:r>
        <w:rPr>
          <w:rFonts w:hint="eastAsia"/>
          <w:sz w:val="28"/>
          <w:szCs w:val="28"/>
        </w:rPr>
        <w:t>（五）产业化情况、推广应用论证和预期达到的经济效果等情况；</w:t>
      </w:r>
    </w:p>
    <w:p>
      <w:pPr>
        <w:ind w:firstLine="480"/>
        <w:rPr>
          <w:rFonts w:hint="eastAsia"/>
        </w:rPr>
      </w:pPr>
      <w:r>
        <w:rPr>
          <w:rFonts w:hint="eastAsia"/>
        </w:rPr>
        <w:t xml:space="preserve">机器人被列为“十三五”期间的十大标志性成果，国家科技部也在重点专项中将重大行业恶劣作业环境作业机器人列为重点支持方向，钢铁业机器人迎来了难得的历史机遇。中国作为钢铁大国，占据世界50%的产能，在炼钢区域存在巨大机器人代替人工作业的需求。本标准的制定有助于提高机器人系统在恶劣工况下的可靠性及安全性，最大限度降低同平台人员暴露于危险的概率，减小潜在危险造成的风险，减少不必要的经济财产损失。促进炼钢区域机器人的研发及推广，提升我国炼钢智能制造水平。 </w:t>
      </w:r>
    </w:p>
    <w:p>
      <w:pPr>
        <w:ind w:firstLine="0" w:firstLineChars="0"/>
        <w:rPr>
          <w:sz w:val="28"/>
          <w:szCs w:val="28"/>
        </w:rPr>
      </w:pPr>
      <w:r>
        <w:rPr>
          <w:rFonts w:hint="eastAsia"/>
          <w:sz w:val="28"/>
          <w:szCs w:val="28"/>
        </w:rPr>
        <w:t>（六）采用国际标准和国外先进标准情况，与国际、国外同类标准水平的对比情况，国内外关键指标对比分析或与测试的国外样品、样机的相关数据对比情况；</w:t>
      </w:r>
    </w:p>
    <w:p>
      <w:pPr>
        <w:ind w:firstLine="480"/>
      </w:pPr>
      <w:r>
        <w:rPr>
          <w:rFonts w:hint="eastAsia"/>
        </w:rPr>
        <w:t>本标准参照了工业机器人的相关安全标准及炼钢区域的相关安全标准，但本标准暂时</w:t>
      </w:r>
      <w:r>
        <w:t>没有</w:t>
      </w:r>
      <w:r>
        <w:rPr>
          <w:rFonts w:hint="eastAsia"/>
        </w:rPr>
        <w:t>完全相</w:t>
      </w:r>
      <w:r>
        <w:t>对应的</w:t>
      </w:r>
      <w:r>
        <w:rPr>
          <w:rFonts w:hint="eastAsia"/>
        </w:rPr>
        <w:t>国际</w:t>
      </w:r>
      <w:r>
        <w:t>及</w:t>
      </w:r>
      <w:r>
        <w:rPr>
          <w:rFonts w:hint="eastAsia"/>
        </w:rPr>
        <w:t>国内</w:t>
      </w:r>
      <w:r>
        <w:t>标准</w:t>
      </w:r>
      <w:r>
        <w:rPr>
          <w:rFonts w:hint="eastAsia"/>
        </w:rPr>
        <w:t>。</w:t>
      </w:r>
    </w:p>
    <w:p>
      <w:pPr>
        <w:ind w:firstLine="480"/>
      </w:pPr>
      <w:r>
        <w:rPr>
          <w:rFonts w:hint="eastAsia"/>
        </w:rPr>
        <w:t>ISO 10218分别为工业机器人、系统及集成的安全标准的国际标准，内容涵盖了所有工业行业，但不同用途的机器人系统的危险源往往是不同的，危险类型的数目直接关系到机器人自动化过程的复杂性，因此本标准在此基础上结合炼钢区域恶劣工况进行了进一步细化；</w:t>
      </w:r>
    </w:p>
    <w:p>
      <w:pPr>
        <w:ind w:firstLine="480"/>
      </w:pPr>
      <w:r>
        <w:rPr>
          <w:rFonts w:hint="eastAsia"/>
        </w:rPr>
        <w:t>暂行国际标准中EN 14753:2007为钢的连续浇铸用机械和设备的安全要求，为连铸区域通用机械设备安全标准。国内标准GB 50742-2012及AQ-2001-2018分别炼钢机械设备安装规范及炼钢安全规程。在应用对象上大于本标准，在应用领域小于本标准。这三个标准都涉及了炼钢区域恶劣工况条件下机械的安全要求，但应用对象过于广泛，本标准还结合了机器人系统的运行特点具体分析；</w:t>
      </w:r>
    </w:p>
    <w:p>
      <w:pPr>
        <w:ind w:firstLine="480"/>
        <w:rPr>
          <w:rFonts w:hint="eastAsia"/>
        </w:rPr>
      </w:pPr>
      <w:r>
        <w:rPr>
          <w:rFonts w:hint="eastAsia"/>
        </w:rPr>
        <w:t>GB 50742-2012及AQ-2001-2018分别炼钢机械设备安装规范及炼钢安全规程，这两个标准都涉及了炼钢区域恶劣工况条件下机械的安全要求，但与EN 14753:2007一样，</w:t>
      </w:r>
    </w:p>
    <w:p>
      <w:pPr>
        <w:ind w:firstLine="480"/>
      </w:pPr>
      <w:r>
        <w:rPr>
          <w:rFonts w:hint="eastAsia"/>
        </w:rPr>
        <w:t>GB 11291是参考ISO 10218制定的，内容为现行ISO 10218的已废止版本的中文版，时效性不足。</w:t>
      </w:r>
    </w:p>
    <w:p>
      <w:pPr>
        <w:ind w:firstLine="480"/>
        <w:rPr>
          <w:rFonts w:hint="eastAsia"/>
        </w:rPr>
      </w:pPr>
      <w:r>
        <w:rPr>
          <w:rFonts w:hint="eastAsia"/>
        </w:rPr>
        <w:t>本标准中炼钢区域机器人所涉及的用途较多，如搬运机器人，装配机器人等，无法概述为某一特定种类的机器人，以上现行国家标准中特定用途的机器人安全标准作为本标准制定的一般参考。</w:t>
      </w:r>
    </w:p>
    <w:p>
      <w:pPr>
        <w:ind w:firstLine="0" w:firstLineChars="0"/>
        <w:rPr>
          <w:sz w:val="28"/>
          <w:szCs w:val="28"/>
        </w:rPr>
      </w:pPr>
      <w:r>
        <w:rPr>
          <w:rFonts w:hint="eastAsia"/>
          <w:sz w:val="28"/>
          <w:szCs w:val="28"/>
        </w:rPr>
        <w:t>（七）与现行相关法律、法规、规章及相关标准，特别是强制性标准的协调性；</w:t>
      </w:r>
    </w:p>
    <w:p>
      <w:pPr>
        <w:ind w:firstLine="480"/>
        <w:rPr>
          <w:rFonts w:hint="eastAsia"/>
        </w:rPr>
      </w:pPr>
      <w:r>
        <w:rPr>
          <w:rFonts w:hint="eastAsia"/>
        </w:rPr>
        <w:t>本标准与现行的法律、法规和强制性的国际标准协调一致。</w:t>
      </w:r>
    </w:p>
    <w:p>
      <w:pPr>
        <w:ind w:firstLine="0" w:firstLineChars="0"/>
        <w:rPr>
          <w:sz w:val="28"/>
          <w:szCs w:val="28"/>
        </w:rPr>
      </w:pPr>
      <w:r>
        <w:rPr>
          <w:rFonts w:hint="eastAsia"/>
          <w:sz w:val="28"/>
          <w:szCs w:val="28"/>
        </w:rPr>
        <w:t>（八）重大分歧意见的处理经过和依据；</w:t>
      </w:r>
    </w:p>
    <w:p>
      <w:pPr>
        <w:ind w:firstLine="480"/>
        <w:rPr>
          <w:rFonts w:hint="eastAsia"/>
        </w:rPr>
      </w:pPr>
      <w:r>
        <w:rPr>
          <w:rFonts w:hint="eastAsia"/>
        </w:rPr>
        <w:t xml:space="preserve">无 </w:t>
      </w:r>
    </w:p>
    <w:p>
      <w:pPr>
        <w:ind w:firstLine="0" w:firstLineChars="0"/>
        <w:rPr>
          <w:sz w:val="28"/>
          <w:szCs w:val="28"/>
        </w:rPr>
      </w:pPr>
      <w:r>
        <w:rPr>
          <w:rFonts w:hint="eastAsia"/>
          <w:sz w:val="28"/>
          <w:szCs w:val="28"/>
        </w:rPr>
        <w:t>（九）标准性质的建议说明；</w:t>
      </w:r>
    </w:p>
    <w:p>
      <w:pPr>
        <w:ind w:firstLine="480"/>
        <w:rPr>
          <w:rFonts w:hint="eastAsia"/>
        </w:rPr>
      </w:pPr>
      <w:r>
        <w:rPr>
          <w:rFonts w:hint="eastAsia"/>
        </w:rPr>
        <w:t>无</w:t>
      </w:r>
    </w:p>
    <w:p>
      <w:pPr>
        <w:ind w:firstLine="0" w:firstLineChars="0"/>
        <w:rPr>
          <w:sz w:val="28"/>
          <w:szCs w:val="28"/>
        </w:rPr>
      </w:pPr>
      <w:r>
        <w:rPr>
          <w:rFonts w:hint="eastAsia"/>
          <w:sz w:val="28"/>
          <w:szCs w:val="28"/>
        </w:rPr>
        <w:t>（十）其他应予说明的事项。</w:t>
      </w:r>
    </w:p>
    <w:p>
      <w:pPr>
        <w:ind w:firstLine="480"/>
        <w:rPr>
          <w:rFonts w:hint="eastAsia"/>
          <w:b/>
          <w:bCs/>
          <w:sz w:val="28"/>
          <w:szCs w:val="28"/>
        </w:rPr>
      </w:pPr>
      <w:r>
        <w:rPr>
          <w:rFonts w:hint="eastAsia"/>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73677"/>
    <w:multiLevelType w:val="multilevel"/>
    <w:tmpl w:val="11C73677"/>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9B422FE"/>
    <w:multiLevelType w:val="multilevel"/>
    <w:tmpl w:val="29B422FE"/>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31511B2B"/>
    <w:multiLevelType w:val="multilevel"/>
    <w:tmpl w:val="31511B2B"/>
    <w:lvl w:ilvl="0" w:tentative="0">
      <w:start w:val="1"/>
      <w:numFmt w:val="decimal"/>
      <w:pStyle w:val="2"/>
      <w:suff w:val="space"/>
      <w:lvlText w:val="%1"/>
      <w:lvlJc w:val="left"/>
      <w:pPr>
        <w:ind w:left="0" w:firstLine="0"/>
      </w:pPr>
      <w:rPr>
        <w:rFonts w:hint="eastAsia"/>
      </w:rPr>
    </w:lvl>
    <w:lvl w:ilvl="1" w:tentative="0">
      <w:start w:val="1"/>
      <w:numFmt w:val="decimal"/>
      <w:pStyle w:val="3"/>
      <w:suff w:val="space"/>
      <w:lvlText w:val="%1.%2"/>
      <w:lvlJc w:val="left"/>
      <w:pPr>
        <w:ind w:left="0" w:firstLine="0"/>
      </w:pPr>
      <w:rPr>
        <w:rFonts w:hint="eastAsia"/>
      </w:rPr>
    </w:lvl>
    <w:lvl w:ilvl="2" w:tentative="0">
      <w:start w:val="1"/>
      <w:numFmt w:val="decimal"/>
      <w:pStyle w:val="4"/>
      <w:suff w:val="space"/>
      <w:lvlText w:val="%1.%2.%3"/>
      <w:lvlJc w:val="left"/>
      <w:pPr>
        <w:ind w:left="0" w:firstLine="0"/>
      </w:pPr>
      <w:rPr>
        <w:rFonts w:hint="eastAsia"/>
      </w:rPr>
    </w:lvl>
    <w:lvl w:ilvl="3" w:tentative="0">
      <w:start w:val="1"/>
      <w:numFmt w:val="decimal"/>
      <w:pStyle w:val="5"/>
      <w:suff w:val="space"/>
      <w:lvlText w:val="%1.%2.%3.%4"/>
      <w:lvlJc w:val="left"/>
      <w:pPr>
        <w:ind w:left="0" w:firstLine="0"/>
      </w:pPr>
      <w:rPr>
        <w:rFonts w:hint="eastAsia"/>
      </w:rPr>
    </w:lvl>
    <w:lvl w:ilvl="4" w:tentative="0">
      <w:start w:val="1"/>
      <w:numFmt w:val="decimal"/>
      <w:pStyle w:val="6"/>
      <w:suff w:val="space"/>
      <w:lvlText w:val="%1.%2.%3.%4.%5"/>
      <w:lvlJc w:val="left"/>
      <w:pPr>
        <w:ind w:left="0" w:firstLine="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482C782B"/>
    <w:multiLevelType w:val="multilevel"/>
    <w:tmpl w:val="482C782B"/>
    <w:lvl w:ilvl="0" w:tentative="0">
      <w:start w:val="1"/>
      <w:numFmt w:val="decimal"/>
      <w:suff w:val="space"/>
      <w:lvlText w:val="%1"/>
      <w:lvlJc w:val="left"/>
      <w:pPr>
        <w:ind w:left="0" w:firstLine="0"/>
      </w:pPr>
      <w:rPr>
        <w:rFonts w:hint="eastAsia"/>
      </w:rPr>
    </w:lvl>
    <w:lvl w:ilvl="1" w:tentative="0">
      <w:start w:val="1"/>
      <w:numFmt w:val="decimal"/>
      <w:lvlText w:val="%2."/>
      <w:lvlJc w:val="left"/>
      <w:pPr>
        <w:ind w:left="0" w:firstLine="0"/>
      </w:pPr>
      <w:rPr>
        <w:rFonts w:hint="eastAsia"/>
      </w:rPr>
    </w:lvl>
    <w:lvl w:ilvl="2" w:tentative="0">
      <w:start w:val="1"/>
      <w:numFmt w:val="decimal"/>
      <w:suff w:val="space"/>
      <w:lvlText w:val="%1.%2.%3"/>
      <w:lvlJc w:val="left"/>
      <w:pPr>
        <w:ind w:left="0" w:firstLine="0"/>
      </w:pPr>
      <w:rPr>
        <w:rFonts w:hint="eastAsia"/>
      </w:rPr>
    </w:lvl>
    <w:lvl w:ilvl="3" w:tentative="0">
      <w:start w:val="1"/>
      <w:numFmt w:val="decimal"/>
      <w:suff w:val="space"/>
      <w:lvlText w:val="%1.%2.%3.%4"/>
      <w:lvlJc w:val="left"/>
      <w:pPr>
        <w:ind w:left="0" w:firstLine="0"/>
      </w:pPr>
      <w:rPr>
        <w:rFonts w:hint="eastAsia"/>
      </w:rPr>
    </w:lvl>
    <w:lvl w:ilvl="4" w:tentative="0">
      <w:start w:val="1"/>
      <w:numFmt w:val="decimal"/>
      <w:suff w:val="space"/>
      <w:lvlText w:val="%1.%2.%3.%4.%5"/>
      <w:lvlJc w:val="left"/>
      <w:pPr>
        <w:ind w:left="0" w:firstLine="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722249F1"/>
    <w:multiLevelType w:val="multilevel"/>
    <w:tmpl w:val="722249F1"/>
    <w:lvl w:ilvl="0" w:tentative="0">
      <w:start w:val="1"/>
      <w:numFmt w:val="decimal"/>
      <w:lvlText w:val="%1."/>
      <w:lvlJc w:val="left"/>
      <w:pPr>
        <w:ind w:left="0" w:firstLine="0"/>
      </w:pPr>
      <w:rPr>
        <w:rFonts w:hint="eastAsia"/>
      </w:rPr>
    </w:lvl>
    <w:lvl w:ilvl="1" w:tentative="0">
      <w:start w:val="1"/>
      <w:numFmt w:val="decimal"/>
      <w:suff w:val="space"/>
      <w:lvlText w:val="%1.%2"/>
      <w:lvlJc w:val="left"/>
      <w:pPr>
        <w:ind w:left="0" w:firstLine="0"/>
      </w:pPr>
      <w:rPr>
        <w:rFonts w:hint="eastAsia"/>
      </w:rPr>
    </w:lvl>
    <w:lvl w:ilvl="2" w:tentative="0">
      <w:start w:val="1"/>
      <w:numFmt w:val="decimal"/>
      <w:suff w:val="space"/>
      <w:lvlText w:val="%1.%2.%3"/>
      <w:lvlJc w:val="left"/>
      <w:pPr>
        <w:ind w:left="0" w:firstLine="0"/>
      </w:pPr>
      <w:rPr>
        <w:rFonts w:hint="eastAsia"/>
      </w:rPr>
    </w:lvl>
    <w:lvl w:ilvl="3" w:tentative="0">
      <w:start w:val="1"/>
      <w:numFmt w:val="decimal"/>
      <w:suff w:val="space"/>
      <w:lvlText w:val="%1.%2.%3.%4"/>
      <w:lvlJc w:val="left"/>
      <w:pPr>
        <w:ind w:left="0" w:firstLine="0"/>
      </w:pPr>
      <w:rPr>
        <w:rFonts w:hint="eastAsia"/>
      </w:rPr>
    </w:lvl>
    <w:lvl w:ilvl="4" w:tentative="0">
      <w:start w:val="1"/>
      <w:numFmt w:val="decimal"/>
      <w:suff w:val="space"/>
      <w:lvlText w:val="%1.%2.%3.%4.%5"/>
      <w:lvlJc w:val="left"/>
      <w:pPr>
        <w:ind w:left="0" w:firstLine="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CD5"/>
    <w:rsid w:val="00026DCE"/>
    <w:rsid w:val="00072EC2"/>
    <w:rsid w:val="000F2F06"/>
    <w:rsid w:val="00126025"/>
    <w:rsid w:val="0012608F"/>
    <w:rsid w:val="00131AB4"/>
    <w:rsid w:val="00137CA3"/>
    <w:rsid w:val="00180C2B"/>
    <w:rsid w:val="001857FA"/>
    <w:rsid w:val="00194C0C"/>
    <w:rsid w:val="002405A4"/>
    <w:rsid w:val="002629C4"/>
    <w:rsid w:val="00292BBF"/>
    <w:rsid w:val="00305794"/>
    <w:rsid w:val="00317597"/>
    <w:rsid w:val="003242F5"/>
    <w:rsid w:val="00330F7F"/>
    <w:rsid w:val="00374153"/>
    <w:rsid w:val="00375CDE"/>
    <w:rsid w:val="00416EFE"/>
    <w:rsid w:val="00434945"/>
    <w:rsid w:val="004A1B2B"/>
    <w:rsid w:val="004E20DE"/>
    <w:rsid w:val="004E24AC"/>
    <w:rsid w:val="005051F9"/>
    <w:rsid w:val="0051181A"/>
    <w:rsid w:val="0054098D"/>
    <w:rsid w:val="0058508A"/>
    <w:rsid w:val="005B47DF"/>
    <w:rsid w:val="005C0FFB"/>
    <w:rsid w:val="005F0B88"/>
    <w:rsid w:val="00634857"/>
    <w:rsid w:val="006E1DB3"/>
    <w:rsid w:val="00727269"/>
    <w:rsid w:val="00762194"/>
    <w:rsid w:val="00786046"/>
    <w:rsid w:val="007C2F3B"/>
    <w:rsid w:val="008B33D4"/>
    <w:rsid w:val="008F6789"/>
    <w:rsid w:val="00916B4D"/>
    <w:rsid w:val="0093493B"/>
    <w:rsid w:val="009420B2"/>
    <w:rsid w:val="009729F0"/>
    <w:rsid w:val="0097484D"/>
    <w:rsid w:val="009D2F15"/>
    <w:rsid w:val="009F6192"/>
    <w:rsid w:val="009F6E52"/>
    <w:rsid w:val="00A6246E"/>
    <w:rsid w:val="00A94E94"/>
    <w:rsid w:val="00AA5F98"/>
    <w:rsid w:val="00AC709B"/>
    <w:rsid w:val="00B00978"/>
    <w:rsid w:val="00B01AED"/>
    <w:rsid w:val="00B47E79"/>
    <w:rsid w:val="00BB3CD5"/>
    <w:rsid w:val="00BC4969"/>
    <w:rsid w:val="00C21C0E"/>
    <w:rsid w:val="00C6015C"/>
    <w:rsid w:val="00C60DC4"/>
    <w:rsid w:val="00C96D48"/>
    <w:rsid w:val="00CE44D5"/>
    <w:rsid w:val="00D10C50"/>
    <w:rsid w:val="00D11513"/>
    <w:rsid w:val="00D33ECB"/>
    <w:rsid w:val="00D63C3D"/>
    <w:rsid w:val="00D72BC9"/>
    <w:rsid w:val="00DA6F97"/>
    <w:rsid w:val="00DF2EDC"/>
    <w:rsid w:val="00E6666A"/>
    <w:rsid w:val="00E83947"/>
    <w:rsid w:val="00E85C0F"/>
    <w:rsid w:val="00EA5090"/>
    <w:rsid w:val="00EC41C8"/>
    <w:rsid w:val="00EC6A72"/>
    <w:rsid w:val="00F0619E"/>
    <w:rsid w:val="00F178A8"/>
    <w:rsid w:val="00F25D4B"/>
    <w:rsid w:val="00F26FB9"/>
    <w:rsid w:val="00F5698D"/>
    <w:rsid w:val="00F721A8"/>
    <w:rsid w:val="00FB1C89"/>
    <w:rsid w:val="04292BD0"/>
    <w:rsid w:val="1FB66E75"/>
    <w:rsid w:val="2D1F68C3"/>
    <w:rsid w:val="352A54C9"/>
    <w:rsid w:val="70C157CC"/>
    <w:rsid w:val="7BBE3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宋体" w:cs="Times New Roman"/>
      <w:kern w:val="2"/>
      <w:sz w:val="24"/>
      <w:szCs w:val="22"/>
      <w:lang w:val="en-US" w:eastAsia="zh-CN" w:bidi="ar-SA"/>
    </w:rPr>
  </w:style>
  <w:style w:type="paragraph" w:styleId="2">
    <w:name w:val="heading 1"/>
    <w:basedOn w:val="1"/>
    <w:next w:val="1"/>
    <w:link w:val="15"/>
    <w:qFormat/>
    <w:uiPriority w:val="9"/>
    <w:pPr>
      <w:keepNext/>
      <w:keepLines/>
      <w:numPr>
        <w:ilvl w:val="0"/>
        <w:numId w:val="1"/>
      </w:numPr>
      <w:spacing w:before="120" w:after="120"/>
      <w:ind w:firstLineChars="0"/>
      <w:jc w:val="left"/>
      <w:outlineLvl w:val="0"/>
    </w:pPr>
    <w:rPr>
      <w:rFonts w:eastAsia="黑体" w:cstheme="minorBidi"/>
      <w:bCs/>
      <w:kern w:val="44"/>
      <w:szCs w:val="44"/>
    </w:rPr>
  </w:style>
  <w:style w:type="paragraph" w:styleId="3">
    <w:name w:val="heading 2"/>
    <w:next w:val="1"/>
    <w:link w:val="16"/>
    <w:unhideWhenUsed/>
    <w:qFormat/>
    <w:uiPriority w:val="9"/>
    <w:pPr>
      <w:keepNext/>
      <w:keepLines/>
      <w:numPr>
        <w:ilvl w:val="1"/>
        <w:numId w:val="1"/>
      </w:numPr>
      <w:spacing w:before="120" w:after="120"/>
      <w:outlineLvl w:val="1"/>
    </w:pPr>
    <w:rPr>
      <w:rFonts w:ascii="Times New Roman" w:hAnsi="Times New Roman" w:eastAsia="黑体" w:cstheme="majorBidi"/>
      <w:bCs/>
      <w:kern w:val="2"/>
      <w:sz w:val="24"/>
      <w:szCs w:val="32"/>
      <w:lang w:val="en-US" w:eastAsia="zh-CN" w:bidi="ar-SA"/>
    </w:rPr>
  </w:style>
  <w:style w:type="paragraph" w:styleId="4">
    <w:name w:val="heading 3"/>
    <w:basedOn w:val="1"/>
    <w:next w:val="1"/>
    <w:link w:val="17"/>
    <w:unhideWhenUsed/>
    <w:qFormat/>
    <w:uiPriority w:val="9"/>
    <w:pPr>
      <w:keepNext/>
      <w:keepLines/>
      <w:numPr>
        <w:ilvl w:val="2"/>
        <w:numId w:val="1"/>
      </w:numPr>
      <w:spacing w:before="120" w:after="120"/>
      <w:jc w:val="left"/>
      <w:outlineLvl w:val="2"/>
    </w:pPr>
    <w:rPr>
      <w:rFonts w:cstheme="minorBidi"/>
      <w:bCs/>
      <w:szCs w:val="32"/>
    </w:rPr>
  </w:style>
  <w:style w:type="paragraph" w:styleId="5">
    <w:name w:val="heading 4"/>
    <w:basedOn w:val="1"/>
    <w:next w:val="1"/>
    <w:link w:val="18"/>
    <w:unhideWhenUsed/>
    <w:qFormat/>
    <w:uiPriority w:val="9"/>
    <w:pPr>
      <w:keepNext/>
      <w:keepLines/>
      <w:numPr>
        <w:ilvl w:val="3"/>
        <w:numId w:val="1"/>
      </w:numPr>
      <w:spacing w:before="120" w:after="120"/>
      <w:outlineLvl w:val="3"/>
    </w:pPr>
    <w:rPr>
      <w:rFonts w:eastAsiaTheme="minorEastAsia" w:cstheme="majorBidi"/>
      <w:bCs/>
      <w:szCs w:val="28"/>
    </w:rPr>
  </w:style>
  <w:style w:type="paragraph" w:styleId="6">
    <w:name w:val="heading 5"/>
    <w:basedOn w:val="1"/>
    <w:next w:val="1"/>
    <w:link w:val="19"/>
    <w:unhideWhenUsed/>
    <w:qFormat/>
    <w:uiPriority w:val="9"/>
    <w:pPr>
      <w:keepNext/>
      <w:keepLines/>
      <w:numPr>
        <w:ilvl w:val="4"/>
        <w:numId w:val="1"/>
      </w:numPr>
      <w:spacing w:before="120" w:after="120"/>
      <w:outlineLvl w:val="4"/>
    </w:pPr>
    <w:rPr>
      <w:rFonts w:eastAsiaTheme="minorEastAsia" w:cstheme="minorBidi"/>
      <w:bCs/>
      <w:szCs w:val="28"/>
    </w:rPr>
  </w:style>
  <w:style w:type="character" w:default="1" w:styleId="11">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7">
    <w:name w:val="annotation text"/>
    <w:basedOn w:val="1"/>
    <w:link w:val="20"/>
    <w:semiHidden/>
    <w:unhideWhenUsed/>
    <w:uiPriority w:val="99"/>
    <w:pPr>
      <w:spacing w:before="60" w:after="60" w:line="269" w:lineRule="auto"/>
      <w:jc w:val="left"/>
    </w:pPr>
    <w:rPr>
      <w:rFonts w:cstheme="minorBidi"/>
    </w:rPr>
  </w:style>
  <w:style w:type="paragraph" w:styleId="8">
    <w:name w:val="footer"/>
    <w:basedOn w:val="1"/>
    <w:link w:val="14"/>
    <w:unhideWhenUsed/>
    <w:qFormat/>
    <w:uiPriority w:val="99"/>
    <w:pPr>
      <w:tabs>
        <w:tab w:val="center" w:pos="4153"/>
        <w:tab w:val="right" w:pos="8306"/>
      </w:tabs>
      <w:snapToGrid w:val="0"/>
      <w:jc w:val="left"/>
    </w:pPr>
    <w:rPr>
      <w:sz w:val="18"/>
      <w:szCs w:val="18"/>
    </w:rPr>
  </w:style>
  <w:style w:type="paragraph" w:styleId="9">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12">
    <w:name w:val="annotation reference"/>
    <w:basedOn w:val="11"/>
    <w:semiHidden/>
    <w:unhideWhenUsed/>
    <w:uiPriority w:val="99"/>
    <w:rPr>
      <w:sz w:val="21"/>
      <w:szCs w:val="21"/>
    </w:rPr>
  </w:style>
  <w:style w:type="character" w:customStyle="1" w:styleId="13">
    <w:name w:val="页眉 字符"/>
    <w:basedOn w:val="11"/>
    <w:link w:val="9"/>
    <w:qFormat/>
    <w:uiPriority w:val="99"/>
    <w:rPr>
      <w:rFonts w:ascii="Calibri" w:hAnsi="Calibri" w:eastAsia="宋体" w:cs="Times New Roman"/>
      <w:sz w:val="18"/>
      <w:szCs w:val="18"/>
    </w:rPr>
  </w:style>
  <w:style w:type="character" w:customStyle="1" w:styleId="14">
    <w:name w:val="页脚 字符"/>
    <w:basedOn w:val="11"/>
    <w:link w:val="8"/>
    <w:qFormat/>
    <w:uiPriority w:val="99"/>
    <w:rPr>
      <w:rFonts w:ascii="Calibri" w:hAnsi="Calibri" w:eastAsia="宋体" w:cs="Times New Roman"/>
      <w:sz w:val="18"/>
      <w:szCs w:val="18"/>
    </w:rPr>
  </w:style>
  <w:style w:type="character" w:customStyle="1" w:styleId="15">
    <w:name w:val="标题 1 字符"/>
    <w:basedOn w:val="11"/>
    <w:link w:val="2"/>
    <w:qFormat/>
    <w:uiPriority w:val="9"/>
    <w:rPr>
      <w:rFonts w:ascii="Times New Roman" w:hAnsi="Times New Roman" w:eastAsia="黑体"/>
      <w:bCs/>
      <w:kern w:val="44"/>
      <w:sz w:val="24"/>
      <w:szCs w:val="44"/>
    </w:rPr>
  </w:style>
  <w:style w:type="character" w:customStyle="1" w:styleId="16">
    <w:name w:val="标题 2 字符"/>
    <w:basedOn w:val="11"/>
    <w:link w:val="3"/>
    <w:qFormat/>
    <w:uiPriority w:val="9"/>
    <w:rPr>
      <w:rFonts w:ascii="Times New Roman" w:hAnsi="Times New Roman" w:eastAsia="黑体" w:cstheme="majorBidi"/>
      <w:bCs/>
      <w:sz w:val="24"/>
      <w:szCs w:val="32"/>
    </w:rPr>
  </w:style>
  <w:style w:type="character" w:customStyle="1" w:styleId="17">
    <w:name w:val="标题 3 字符"/>
    <w:basedOn w:val="11"/>
    <w:link w:val="4"/>
    <w:qFormat/>
    <w:uiPriority w:val="9"/>
    <w:rPr>
      <w:rFonts w:ascii="Times New Roman" w:hAnsi="Times New Roman" w:eastAsia="宋体"/>
      <w:bCs/>
      <w:sz w:val="24"/>
      <w:szCs w:val="32"/>
    </w:rPr>
  </w:style>
  <w:style w:type="character" w:customStyle="1" w:styleId="18">
    <w:name w:val="标题 4 字符"/>
    <w:basedOn w:val="11"/>
    <w:link w:val="5"/>
    <w:qFormat/>
    <w:uiPriority w:val="9"/>
    <w:rPr>
      <w:rFonts w:ascii="Times New Roman" w:hAnsi="Times New Roman" w:cstheme="majorBidi"/>
      <w:bCs/>
      <w:sz w:val="24"/>
      <w:szCs w:val="28"/>
    </w:rPr>
  </w:style>
  <w:style w:type="character" w:customStyle="1" w:styleId="19">
    <w:name w:val="标题 5 字符"/>
    <w:basedOn w:val="11"/>
    <w:link w:val="6"/>
    <w:qFormat/>
    <w:uiPriority w:val="9"/>
    <w:rPr>
      <w:rFonts w:ascii="Times New Roman" w:hAnsi="Times New Roman"/>
      <w:bCs/>
      <w:sz w:val="24"/>
      <w:szCs w:val="28"/>
    </w:rPr>
  </w:style>
  <w:style w:type="character" w:customStyle="1" w:styleId="20">
    <w:name w:val="批注文字 字符"/>
    <w:basedOn w:val="11"/>
    <w:link w:val="7"/>
    <w:semiHidden/>
    <w:qFormat/>
    <w:uiPriority w:val="99"/>
    <w:rPr>
      <w:rFonts w:ascii="Times New Roman" w:hAnsi="Times New Roman" w:eastAsia="宋体"/>
      <w:sz w:val="24"/>
    </w:rPr>
  </w:style>
  <w:style w:type="paragraph" w:styleId="21">
    <w:name w:val="List Paragraph"/>
    <w:basedOn w:val="1"/>
    <w:qFormat/>
    <w:uiPriority w:val="34"/>
    <w:pPr>
      <w:ind w:firstLine="420"/>
    </w:pPr>
    <w:rPr>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343</Words>
  <Characters>1957</Characters>
  <Lines>16</Lines>
  <Paragraphs>4</Paragraphs>
  <TotalTime>0</TotalTime>
  <ScaleCrop>false</ScaleCrop>
  <LinksUpToDate>false</LinksUpToDate>
  <CharactersWithSpaces>2296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2019-10-10T03:32:00Z</dcterms:created>
  <dc:creator>gh</dc:creator>
  <cp:lastModifiedBy>User</cp:lastModifiedBy>
  <dcterms:modified xsi:type="dcterms:W3CDTF">2020-11-26T03:08:01Z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