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  <w:r w:rsidRPr="008B6209">
        <w:rPr>
          <w:rFonts w:ascii="Times New Roman" w:hAnsi="Times New Roman"/>
          <w:b/>
          <w:noProof/>
          <w:sz w:val="32"/>
          <w:szCs w:val="32"/>
        </w:rPr>
        <w:drawing>
          <wp:inline distB="0" distL="0" distR="0" distT="0" wp14:anchorId="4B8271E5" wp14:editId="6658358E">
            <wp:extent cx="1069358" cy="1057275"/>
            <wp:effectExtent b="0" l="19050" r="0" t="0"/>
            <wp:docPr descr="E:\工作文件\刘长新\2009\pic 在 Lidongchi 上\logo_csm\logo_csm_new.JPG"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E:\工作文件\刘长新\2009\pic 在 Lidongchi 上\logo_csm\logo_csm_new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96" cy="105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 w:rsidRPr="008B6209">
      <w:pPr>
        <w:jc w:val="center"/>
        <w:rPr>
          <w:rFonts w:ascii="Times New Roman" w:hAnsi="Times New Roman"/>
          <w:b/>
          <w:sz w:val="48"/>
          <w:szCs w:val="48"/>
        </w:rPr>
      </w:pPr>
      <w:r w:rsidRPr="008B6209">
        <w:rPr>
          <w:rFonts w:ascii="Times New Roman" w:hAnsi="Times New Roman"/>
          <w:b/>
          <w:sz w:val="48"/>
          <w:szCs w:val="48"/>
        </w:rPr>
        <w:t>中国金属学会团体标准项目</w:t>
      </w:r>
      <w:r>
        <w:rPr>
          <w:rFonts w:ascii="Times New Roman" w:hAnsi="Times New Roman" w:hint="eastAsia"/>
          <w:b/>
          <w:sz w:val="48"/>
          <w:szCs w:val="48"/>
        </w:rPr>
        <w:t>建议</w:t>
      </w:r>
      <w:r w:rsidRPr="008B6209">
        <w:rPr>
          <w:rFonts w:ascii="Times New Roman" w:hAnsi="Times New Roman"/>
          <w:b/>
          <w:sz w:val="48"/>
          <w:szCs w:val="48"/>
        </w:rPr>
        <w:t>书</w:t>
      </w:r>
    </w:p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 w:rsidRPr="008A0D12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 w:rsidRPr="00B86CE0">
      <w:pPr>
        <w:rPr>
          <w:rFonts w:ascii="仿宋" w:eastAsia="仿宋" w:hAnsi="仿宋"/>
          <w:b/>
          <w:sz w:val="32"/>
          <w:szCs w:val="32"/>
        </w:rPr>
      </w:pPr>
      <w:bookmarkStart w:id="0" w:name="_Hlk24631589"/>
      <w:r w:rsidRPr="008B6209">
        <w:rPr>
          <w:rFonts w:ascii="Times New Roman" w:hAnsi="Times New Roman" w:hint="eastAsia"/>
          <w:b/>
          <w:sz w:val="32"/>
          <w:szCs w:val="32"/>
        </w:rPr>
        <w:t>标准项目</w:t>
      </w:r>
      <w:bookmarkEnd w:id="0"/>
      <w:r w:rsidRPr="008B6209">
        <w:rPr>
          <w:rFonts w:ascii="Times New Roman" w:hAnsi="Times New Roman" w:hint="eastAsia"/>
          <w:b/>
          <w:sz w:val="32"/>
          <w:szCs w:val="32"/>
        </w:rPr>
        <w:t>名称：</w:t>
      </w:r>
      <w:r w:rsidRPr="008B6209">
        <w:rPr>
          <w:rFonts w:ascii="Times New Roman" w:hAnsi="Times New Roman"/>
          <w:b/>
          <w:sz w:val="32"/>
          <w:szCs w:val="32"/>
        </w:rPr>
        <w:t xml:space="preserve"> </w:t>
      </w:r>
      <w:r w:rsidRPr="00AA57B5">
        <w:rPr>
          <w:rFonts w:ascii="Times New Roman" w:hAnsi="Times New Roman"/>
          <w:b/>
          <w:sz w:val="32"/>
          <w:szCs w:val="32"/>
        </w:rPr>
        <w:t>智能冷轧（硅钢）体系架构与建设指南</w:t>
      </w:r>
    </w:p>
    <w:p w:rsidP="00B86CE0" w:rsidR="00B86CE0" w:rsidRDefault="00B86CE0" w:rsidRPr="008B6209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 w:rsidRPr="00B86CE0">
      <w:pPr>
        <w:rPr>
          <w:rFonts w:ascii="仿宋" w:eastAsia="仿宋" w:hAnsi="仿宋"/>
          <w:b/>
          <w:sz w:val="32"/>
          <w:szCs w:val="32"/>
        </w:rPr>
      </w:pPr>
      <w:r w:rsidRPr="008B6209">
        <w:rPr>
          <w:rFonts w:ascii="Times New Roman" w:hAnsi="Times New Roman" w:hint="eastAsia"/>
          <w:b/>
          <w:sz w:val="32"/>
          <w:szCs w:val="32"/>
        </w:rPr>
        <w:t>牵头起草单位：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A57B5">
        <w:rPr>
          <w:rFonts w:ascii="Times New Roman" w:hAnsi="Times New Roman"/>
          <w:b/>
          <w:sz w:val="32"/>
          <w:szCs w:val="32"/>
        </w:rPr>
        <w:t>中冶南方工程技术有限公司</w:t>
      </w:r>
    </w:p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</w:p>
    <w:p w:rsidP="00A134AD" w:rsidR="00A134AD" w:rsidRDefault="00B86CE0" w:rsidRPr="00A134AD">
      <w:pPr>
        <w:ind w:hanging="1275" w:hangingChars="397" w:left="1275"/>
        <w:rPr>
          <w:rFonts w:ascii="Times New Roman" w:hAnsi="Times New Roman"/>
          <w:b/>
          <w:sz w:val="32"/>
          <w:szCs w:val="32"/>
        </w:rPr>
      </w:pPr>
      <w:r w:rsidRPr="00A134AD">
        <w:rPr>
          <w:rFonts w:ascii="Times New Roman" w:hAnsi="Times New Roman" w:hint="eastAsia"/>
          <w:b/>
          <w:sz w:val="32"/>
          <w:szCs w:val="32"/>
        </w:rPr>
        <w:t>参加编写单位：</w:t>
      </w:r>
      <w:r w:rsidRPr="00A134AD">
        <w:rPr>
          <w:rFonts w:ascii="Times New Roman" w:hAnsi="Times New Roman" w:hint="eastAsia"/>
          <w:b/>
          <w:sz w:val="32"/>
          <w:szCs w:val="32"/>
        </w:rPr>
        <w:t xml:space="preserve"> </w:t>
      </w:r>
      <w:bookmarkStart w:id="1" w:name="_GoBack"/>
      <w:bookmarkEnd w:id="1"/>
    </w:p>
    <w:p w:rsidP="00B822AD" w:rsidR="003F364E" w:rsidRDefault="00B86CE0" w:rsidRPr="00A134AD">
      <w:pPr>
        <w:ind w:left="13"/>
        <w:rPr>
          <w:rFonts w:ascii="Times New Roman" w:hAnsi="Times New Roman"/>
          <w:b/>
          <w:sz w:val="32"/>
          <w:szCs w:val="32"/>
        </w:rPr>
      </w:pPr>
      <w:r w:rsidRPr="00A134AD">
        <w:rPr>
          <w:rFonts w:ascii="Times New Roman" w:hAnsi="Times New Roman"/>
          <w:b/>
          <w:sz w:val="32"/>
          <w:szCs w:val="32"/>
        </w:rPr>
        <w:t/>
      </w:r>
    </w:p>
    <w:p w:rsidP="00956ABA" w:rsidR="00832FBF" w:rsidRDefault="00832FBF" w:rsidRPr="00A134AD">
      <w:pPr>
        <w:rPr>
          <w:rFonts w:ascii="Times New Roman" w:hAnsi="Times New Roman"/>
          <w:b/>
          <w:sz w:val="32"/>
          <w:szCs w:val="32"/>
        </w:rPr>
      </w:pPr>
    </w:p>
    <w:p w:rsidP="00B86CE0" w:rsidR="00B86CE0" w:rsidRDefault="00B86CE0">
      <w:pPr>
        <w:rPr>
          <w:rFonts w:ascii="Times New Roman" w:hAnsi="Times New Roman"/>
          <w:b/>
          <w:sz w:val="32"/>
          <w:szCs w:val="32"/>
        </w:rPr>
      </w:pPr>
    </w:p>
    <w:p w:rsidP="00BF6A0C" w:rsidR="00BF6A0C" w:rsidRDefault="00B86C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中国金属学会标准化工作委员会</w:t>
      </w:r>
    </w:p>
    <w:p w:rsidP="00BF6A0C" w:rsidR="00BF6A0C" w:rsidRDefault="005E03C1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2020年07月10日</w:t>
      </w:r>
      <w:r>
        <w:br w:type="page"/>
      </w:r>
    </w:p>
    <w:tbl>
      <w:tblPr>
        <w:tblStyle w:val="a3"/>
        <w:tblW w:type="pct" w:w="5323"/>
        <w:tblInd w:type="dxa" w:w="-176"/>
        <w:tblLayout w:type="fixed"/>
        <w:tblLook w:firstColumn="1" w:firstRow="1" w:lastColumn="0" w:lastRow="0" w:noHBand="0" w:noVBand="1" w:val="04A0"/>
      </w:tblPr>
      <w:tblGrid>
        <w:gridCol w:w="1699"/>
        <w:gridCol w:w="846"/>
        <w:gridCol w:w="797"/>
        <w:gridCol w:w="1052"/>
        <w:gridCol w:w="706"/>
        <w:gridCol w:w="996"/>
        <w:gridCol w:w="417"/>
        <w:gridCol w:w="2560"/>
      </w:tblGrid>
      <w:tr w:rsidR="00675874" w:rsidRPr="00EE5A21" w:rsidTr="001E0A0A">
        <w:trPr>
          <w:trHeight w:val="637"/>
        </w:trPr>
        <w:tc>
          <w:tcPr>
            <w:tcW w:type="pct" w:w="936"/>
            <w:vAlign w:val="center"/>
          </w:tcPr>
          <w:p w:rsidP="00F051C0" w:rsidR="00675874" w:rsidRDefault="001E0A0A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lastRenderedPageBreak/>
              <w:br w:type="page"/>
            </w:r>
            <w:r w:rsidR="00675874" w:rsidRPr="00EE5A21">
              <w:rPr>
                <w:rFonts w:ascii="仿宋" w:cs="Times New Roman" w:eastAsia="仿宋" w:hAnsi="仿宋"/>
                <w:sz w:val="24"/>
                <w:szCs w:val="24"/>
              </w:rPr>
              <w:t>建议项目名称</w:t>
            </w:r>
          </w:p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（中文）</w:t>
            </w:r>
          </w:p>
        </w:tc>
        <w:tc>
          <w:tcPr>
            <w:tcW w:type="pct" w:w="4064"/>
            <w:gridSpan w:val="7"/>
            <w:vAlign w:val="center"/>
          </w:tcPr>
          <w:p w:rsidP="00AA57B5" w:rsidR="00675874" w:rsidRDefault="00CA0A90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智能冷轧（硅钢）体系架构与建设指南</w:t>
            </w:r>
          </w:p>
        </w:tc>
      </w:tr>
      <w:tr w:rsidR="00675874" w:rsidRPr="00EE5A21" w:rsidTr="001E0A0A">
        <w:trPr>
          <w:trHeight w:val="637"/>
        </w:trPr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建议项目名称</w:t>
            </w:r>
          </w:p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（英文）</w:t>
            </w:r>
          </w:p>
        </w:tc>
        <w:tc>
          <w:tcPr>
            <w:tcW w:type="pct" w:w="4064"/>
            <w:gridSpan w:val="7"/>
            <w:vAlign w:val="center"/>
          </w:tcPr>
          <w:p w:rsidP="00AA57B5" w:rsidR="00675874" w:rsidRDefault="000F03A1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Intelligent Cold Rolling（ES）System Architecture and Construction Implementation Guide</w:t>
            </w:r>
          </w:p>
        </w:tc>
      </w:tr>
      <w:tr w:rsidR="00B22133" w:rsidRPr="00EE5A21" w:rsidTr="00B22133">
        <w:trPr>
          <w:trHeight w:val="561"/>
        </w:trPr>
        <w:tc>
          <w:tcPr>
            <w:tcW w:type="pct" w:w="936"/>
            <w:vAlign w:val="center"/>
          </w:tcPr>
          <w:p w:rsidP="00F051C0" w:rsidR="00B22133" w:rsidRDefault="00B22133" w:rsidRPr="00EE5A21">
            <w:pPr>
              <w:spacing w:line="360" w:lineRule="auto"/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制定或修订</w:t>
            </w:r>
          </w:p>
        </w:tc>
        <w:tc>
          <w:tcPr>
            <w:tcW w:type="pct" w:w="1485"/>
            <w:gridSpan w:val="3"/>
            <w:vAlign w:val="center"/>
          </w:tcPr>
          <w:p w:rsidP="00B22133" w:rsidR="00B22133" w:rsidRDefault="00B22133" w:rsidRPr="00EE5A21">
            <w:pPr>
              <w:spacing w:line="360" w:lineRule="auto"/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制定</w:t>
            </w:r>
          </w:p>
        </w:tc>
        <w:tc>
          <w:tcPr>
            <w:tcW w:type="pct" w:w="938"/>
            <w:gridSpan w:val="2"/>
            <w:vAlign w:val="center"/>
          </w:tcPr>
          <w:p w:rsidP="00F051C0" w:rsidR="00B22133" w:rsidRDefault="00B22133" w:rsidRPr="00EE5A21">
            <w:pPr>
              <w:spacing w:line="360" w:lineRule="auto"/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被修订标准号</w:t>
            </w:r>
          </w:p>
        </w:tc>
        <w:tc>
          <w:tcPr>
            <w:tcW w:type="pct" w:w="1641"/>
            <w:gridSpan w:val="2"/>
            <w:vAlign w:val="center"/>
          </w:tcPr>
          <w:p w:rsidP="00F051C0" w:rsidR="00B22133" w:rsidRDefault="00B22133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</w:p>
        </w:tc>
      </w:tr>
      <w:tr w:rsidR="00675874" w:rsidRPr="00EE5A21" w:rsidTr="001E0A0A"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牵头单位</w:t>
            </w:r>
          </w:p>
        </w:tc>
        <w:tc>
          <w:tcPr>
            <w:tcW w:type="pct" w:w="1485"/>
            <w:gridSpan w:val="3"/>
            <w:vAlign w:val="center"/>
          </w:tcPr>
          <w:p w:rsidP="00AA57B5" w:rsidR="00675874" w:rsidRDefault="001449B7" w:rsidRPr="00AA57B5">
            <w:pPr>
              <w:jc w:val="lef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中冶南方工程技术有限公司</w:t>
            </w:r>
          </w:p>
        </w:tc>
        <w:tc>
          <w:tcPr>
            <w:tcW w:type="pct" w:w="938"/>
            <w:gridSpan w:val="2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计划起止时间</w:t>
            </w:r>
          </w:p>
        </w:tc>
        <w:tc>
          <w:tcPr>
            <w:tcW w:type="pct" w:w="1641"/>
            <w:gridSpan w:val="2"/>
            <w:vAlign w:val="center"/>
          </w:tcPr>
          <w:p w:rsidP="00AA57B5" w:rsidR="00675874" w:rsidRDefault="000F03A1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2020-06-01</w:t>
            </w:r>
            <w:r w:rsidR="007E1437" w:rsidRPr="00AA57B5">
              <w:rPr>
                <w:rFonts w:ascii="Times New Roman" w:cs="Times New Roman" w:eastAsia="仿宋" w:hAnsi="Times New Roman" w:hint="eastAsia"/>
                <w:sz w:val="24"/>
                <w:szCs w:val="24"/>
              </w:rPr>
              <w:t xml:space="preserve"> </w:t>
            </w:r>
            <w:r w:rsidR="00AA57B5">
              <w:rPr>
                <w:rFonts w:ascii="Times New Roman" w:cs="Times New Roman" w:eastAsia="仿宋" w:hAnsi="Times New Roman" w:hint="eastAsia"/>
                <w:sz w:val="24"/>
                <w:szCs w:val="24"/>
              </w:rPr>
              <w:t>至</w:t>
            </w: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2021-12-31</w:t>
            </w:r>
          </w:p>
        </w:tc>
      </w:tr>
      <w:tr w:rsidR="00675874" w:rsidRPr="00EE5A21" w:rsidTr="001E0A0A">
        <w:trPr>
          <w:trHeight w:val="567"/>
        </w:trPr>
        <w:tc>
          <w:tcPr>
            <w:tcW w:type="pct" w:w="936"/>
            <w:vAlign w:val="center"/>
          </w:tcPr>
          <w:p w:rsidP="00AA57B5" w:rsidR="00675874" w:rsidRDefault="00675874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type="pct" w:w="1485"/>
            <w:gridSpan w:val="3"/>
            <w:vAlign w:val="center"/>
          </w:tcPr>
          <w:p w:rsidP="00AA57B5" w:rsidR="00675874" w:rsidRDefault="001449B7" w:rsidRPr="00AA57B5">
            <w:pPr>
              <w:jc w:val="lef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 w:rsidRPr="00AA57B5">
              <w:rPr>
                <w:rFonts w:ascii="Times New Roman" w:cs="Times New Roman" w:eastAsia="仿宋" w:hAnsi="Times New Roman"/>
                <w:sz w:val="24"/>
                <w:szCs w:val="24"/>
              </w:rPr>
              <w:t>叶理德</w:t>
            </w:r>
          </w:p>
        </w:tc>
        <w:tc>
          <w:tcPr>
            <w:tcW w:type="pct" w:w="938"/>
            <w:gridSpan w:val="2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type="pct" w:w="1641"/>
            <w:gridSpan w:val="2"/>
            <w:vAlign w:val="center"/>
          </w:tcPr>
          <w:p w:rsidP="00AA57B5" w:rsidR="00675874" w:rsidRDefault="001449B7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>13707189771</w:t>
            </w:r>
          </w:p>
        </w:tc>
      </w:tr>
      <w:tr w:rsidR="00675874" w:rsidRPr="00EE5A21" w:rsidTr="001E0A0A">
        <w:trPr>
          <w:trHeight w:val="567"/>
        </w:trPr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type="pct" w:w="1485"/>
            <w:gridSpan w:val="3"/>
            <w:vAlign w:val="center"/>
          </w:tcPr>
          <w:p w:rsidP="00146187" w:rsidR="00675874" w:rsidRDefault="001449B7" w:rsidRPr="00146187">
            <w:pPr>
              <w:jc w:val="lef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>02781996689</w:t>
            </w:r>
          </w:p>
        </w:tc>
        <w:tc>
          <w:tcPr>
            <w:tcW w:type="pct" w:w="938"/>
            <w:gridSpan w:val="2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type="pct" w:w="1641"/>
            <w:gridSpan w:val="2"/>
            <w:vAlign w:val="center"/>
          </w:tcPr>
          <w:p w:rsidP="00146187" w:rsidR="00675874" w:rsidRDefault="001449B7" w:rsidRPr="00146187">
            <w:pPr>
              <w:jc w:val="lef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>yelide@wisdri.com</w:t>
            </w:r>
          </w:p>
        </w:tc>
      </w:tr>
      <w:tr w:rsidR="00675874" w:rsidRPr="00EE5A21" w:rsidTr="001E0A0A"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目的、意义</w:t>
            </w:r>
          </w:p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或必要性</w:t>
            </w:r>
          </w:p>
        </w:tc>
        <w:tc>
          <w:tcPr>
            <w:tcW w:type="pct" w:w="4064"/>
            <w:gridSpan w:val="7"/>
          </w:tcPr>
          <w:p w:rsidP="00C21B03" w:rsidR="00675874" w:rsidRDefault="000F03A1" w:rsidRPr="00C21B03">
            <w:pPr>
              <w:jc w:val="left"/>
              <w:rPr>
                <w:rFonts w:ascii="Times New Roman" w:cs="Times New Roman" w:eastAsia="仿宋" w:hAnsi="Times New Roman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>通过该技术标准的编制为未来智能冷轧（硅钢）厂的设计、建设、运营提供指导。该标准将结合国内外先进钢铁企业的智能制造技术和装备，总结阐述钢铁企业冷轧（硅钢）厂的重点工艺和设备在智能制造方面的先进技术和发展方向，为未来智能钢厂的建设指明方向。</w:t>
            </w:r>
          </w:p>
        </w:tc>
      </w:tr>
      <w:tr w:rsidR="00675874" w:rsidRPr="00EE5A21" w:rsidTr="001E0A0A"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范围和主要</w:t>
            </w: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br/>
              <w:t>技术内容</w:t>
            </w:r>
          </w:p>
        </w:tc>
        <w:tc>
          <w:tcPr>
            <w:tcW w:type="pct" w:w="4064"/>
            <w:gridSpan w:val="7"/>
          </w:tcPr>
          <w:p w:rsidP="00C21B03" w:rsidR="00972695" w:rsidRDefault="003122B6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>1）适用范围：</w:t>
              <w:cr/>
              <w:t>本次标准编制的主要内容为冷轧（硅钢）智能制造的技术范围、核心技术、改造方法以及实施建议等，将对传统冷轧（硅钢）厂的智能化提升方向、实施路径等给出指导性建议。标准的适用范围包括冷轧（硅钢）工厂的酸洗、轧机、退火等一系列重要机组。</w:t>
              <w:cr/>
              <w:t>2）标准的主要技术内容</w:t>
              <w:cr/>
              <w:t>1、智能冷轧（硅钢）总体技术体系架构</w:t>
              <w:cr/>
              <w:t>1.1工业互联网架构及大数据平台</w:t>
              <w:cr/>
              <w:t>1.2数字孪生体构建技术</w:t>
              <w:cr/>
              <w:t>1.3系统与现有其它系统的关系</w:t>
              <w:cr/>
              <w:t>2、智能冷轧（硅钢）关键技术</w:t>
              <w:cr/>
              <w:t>2.1一体化生产智能管控平台</w:t>
              <w:cr/>
              <w:t>2.1.1智能优化调度与排程</w:t>
              <w:cr/>
              <w:t>2.1.2全流程智能质量管控</w:t>
              <w:cr/>
              <w:t>2.1.3资产管理和维保系统</w:t>
              <w:cr/>
              <w:t>2.1.4 全场智能物流系统</w:t>
              <w:cr/>
              <w:t>2.2 能源和环保智能管控</w:t>
              <w:cr/>
              <w:t>2.3 过程智能优化控制技术</w:t>
              <w:cr/>
              <w:t>2.3.1各机组、各工序智能优化控制技术</w:t>
              <w:cr/>
              <w:t>2.4 无人化系统和装置</w:t>
              <w:cr/>
              <w:t>2.4.1无人化技术和系统</w:t>
              <w:cr/>
              <w:t xml:space="preserve">    （含无人仓库等、机组入口段无人化技术）</w:t>
              <w:cr/>
              <w:t>2.4.2无人化技术和装置</w:t>
              <w:cr/>
              <w:t xml:space="preserve">    （含机器人等）</w:t>
              <w:cr/>
              <w:t>2.5 智能检测技术</w:t>
              <w:cr/>
              <w:t>2.6智能设备故障诊断技术</w:t>
              <w:cr/>
              <w:t>3.建设实施路径与建议</w:t>
            </w:r>
          </w:p>
        </w:tc>
      </w:tr>
      <w:tr w:rsidR="00675874" w:rsidRPr="00EE5A21" w:rsidTr="001E0A0A"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国内外情况</w:t>
            </w: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br/>
              <w:t>简要说明</w:t>
            </w:r>
          </w:p>
        </w:tc>
        <w:tc>
          <w:tcPr>
            <w:tcW w:type="pct" w:w="4064"/>
            <w:gridSpan w:val="7"/>
          </w:tcPr>
          <w:p w:rsidP="00DB2413" w:rsidR="00675874" w:rsidRDefault="003122B6" w:rsidRPr="00EE5A21">
            <w:pPr>
              <w:jc w:val="left"/>
              <w:rPr>
                <w:rFonts w:ascii="仿宋" w:cs="Times New Roman" w:eastAsia="仿宋" w:hAnsi="仿宋"/>
                <w:sz w:val="24"/>
                <w:szCs w:val="24"/>
              </w:rPr>
            </w:pPr>
            <w:r w:rsidRPr="00DB2413">
              <w:rPr>
                <w:rFonts w:ascii="Times New Roman" w:cs="Times New Roman" w:eastAsia="仿宋" w:hAnsi="Times New Roman"/>
                <w:sz w:val="24"/>
                <w:szCs w:val="24"/>
              </w:rPr>
              <w:t xml:space="preserve">1）国内外对该技术研究情况简要说明: </w:t>
              <w:cr/>
              <w:t>目前，国内外的钢铁企业基本普及了从一级到五级的信息化系统建设，冷轧（硅钢）车间基本完成了冷轧生产工艺的全流程自动化控制。</w:t>
              <w:cr/>
              <w:t>但是工艺优化控制模型虽有较多研究，并形成了可推广的产品，但目前这些产品的性能还不够稳定、范围不全面，对冷轧（硅钢）生产真正的支撑作用还不够，缺乏与工艺操作的深度融合和深入钻研；对无人化、智能检测等技术也有部分研究，但还未形成稳定、可靠、可推广的全系列技术产品；对完整的一体化智能管控的研究也不完整。</w:t>
              <w:cr/>
              <w:t>本标准的制定，一方面将对现有的技术进行规范化的总结和提升，另一方面将对当前所缺乏的技术进行方案构建和描述，为未来智能冷轧（硅钢）的技术发展奠定基础。</w:t>
            </w:r>
          </w:p>
        </w:tc>
      </w:tr>
      <w:tr w:rsidR="00972695" w:rsidRPr="00EE5A21" w:rsidTr="001E0A0A">
        <w:tc>
          <w:tcPr>
            <w:tcW w:type="pct" w:w="936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牵头单位</w:t>
            </w:r>
          </w:p>
        </w:tc>
        <w:tc>
          <w:tcPr>
            <w:tcW w:type="pct" w:w="466"/>
            <w:vAlign w:val="bottom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Cs w:val="24"/>
              </w:rPr>
            </w:pPr>
          </w:p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Cs w:val="24"/>
              </w:rPr>
            </w:pPr>
          </w:p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0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16"/>
                <w:szCs w:val="24"/>
              </w:rPr>
              <w:t>（盖公章）</w:t>
            </w:r>
          </w:p>
          <w:p w:rsidP="007E26A7" w:rsidR="00675874" w:rsidRDefault="00675874" w:rsidRPr="00EE5A21">
            <w:pPr>
              <w:wordWrap w:val="0"/>
              <w:ind w:right="360"/>
              <w:jc w:val="right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年</w:t>
            </w:r>
            <w:r w:rsidR="007E26A7">
              <w:rPr>
                <w:rFonts w:ascii="仿宋" w:cs="Times New Roman" w:eastAsia="仿宋" w:hAnsi="仿宋" w:hint="eastAsia"/>
                <w:sz w:val="24"/>
                <w:szCs w:val="24"/>
              </w:rPr>
              <w:t xml:space="preserve"> 月</w:t>
            </w: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日</w:t>
            </w:r>
          </w:p>
        </w:tc>
        <w:tc>
          <w:tcPr>
            <w:tcW w:type="pct" w:w="439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专业技术</w:t>
            </w: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br/>
              <w:t>委员会</w:t>
            </w:r>
          </w:p>
        </w:tc>
        <w:tc>
          <w:tcPr>
            <w:tcW w:type="pct" w:w="969"/>
            <w:gridSpan w:val="2"/>
            <w:vAlign w:val="bottom"/>
          </w:tcPr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Cs w:val="24"/>
              </w:rPr>
            </w:pPr>
          </w:p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 w:val="20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16"/>
                <w:szCs w:val="24"/>
              </w:rPr>
              <w:t>（签字或盖公章）</w:t>
            </w:r>
          </w:p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年 月 日</w:t>
            </w:r>
          </w:p>
        </w:tc>
        <w:tc>
          <w:tcPr>
            <w:tcW w:type="pct" w:w="779"/>
            <w:gridSpan w:val="2"/>
            <w:vAlign w:val="center"/>
          </w:tcPr>
          <w:p w:rsidP="00F051C0" w:rsidR="00675874" w:rsidRDefault="00675874" w:rsidRPr="00EE5A21">
            <w:pPr>
              <w:jc w:val="center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中国金属学会标准化工作委员会</w:t>
            </w:r>
          </w:p>
        </w:tc>
        <w:tc>
          <w:tcPr>
            <w:tcW w:type="pct" w:w="1411"/>
            <w:vAlign w:val="bottom"/>
          </w:tcPr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Cs w:val="24"/>
              </w:rPr>
            </w:pPr>
          </w:p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Cs w:val="24"/>
              </w:rPr>
            </w:pPr>
          </w:p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 w:val="20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16"/>
                <w:szCs w:val="24"/>
              </w:rPr>
              <w:t>（签字或盖公章）</w:t>
            </w:r>
          </w:p>
          <w:p w:rsidP="00F051C0" w:rsidR="00675874" w:rsidRDefault="00675874" w:rsidRPr="00EE5A21">
            <w:pPr>
              <w:jc w:val="right"/>
              <w:rPr>
                <w:rFonts w:ascii="仿宋" w:cs="Times New Roman" w:eastAsia="仿宋" w:hAnsi="仿宋"/>
                <w:sz w:val="24"/>
                <w:szCs w:val="24"/>
              </w:rPr>
            </w:pPr>
            <w:r w:rsidRPr="00EE5A21">
              <w:rPr>
                <w:rFonts w:ascii="仿宋" w:cs="Times New Roman" w:eastAsia="仿宋" w:hAnsi="仿宋"/>
                <w:sz w:val="24"/>
                <w:szCs w:val="24"/>
              </w:rPr>
              <w:t>年 月 日</w:t>
            </w:r>
          </w:p>
        </w:tc>
      </w:tr>
    </w:tbl>
    <w:p w:rsidP="00675874" w:rsidR="00227152" w:rsidRDefault="00227152" w:rsidRPr="00EE5A21">
      <w:pPr>
        <w:rPr>
          <w:rFonts w:ascii="仿宋" w:eastAsia="仿宋" w:hAnsi="仿宋"/>
          <w:sz w:val="24"/>
          <w:szCs w:val="21"/>
        </w:rPr>
      </w:pPr>
    </w:p>
    <w:p w:rsidP="00675874" w:rsidR="00227152" w:rsidRDefault="00227152" w:rsidRPr="00EE5A21">
      <w:pPr>
        <w:rPr>
          <w:rFonts w:ascii="仿宋" w:eastAsia="仿宋" w:hAnsi="仿宋"/>
          <w:sz w:val="24"/>
          <w:szCs w:val="21"/>
        </w:rPr>
      </w:pPr>
      <w:r w:rsidRPr="00EE5A21">
        <w:rPr>
          <w:rFonts w:ascii="仿宋" w:eastAsia="仿宋" w:hAnsi="仿宋"/>
          <w:sz w:val="24"/>
          <w:szCs w:val="21"/>
        </w:rPr>
        <w:t>[注1]</w:t>
      </w:r>
      <w:r w:rsidRPr="00EE5A21">
        <w:rPr>
          <w:rFonts w:ascii="仿宋" w:eastAsia="仿宋" w:hAnsi="仿宋" w:hint="eastAsia"/>
          <w:sz w:val="24"/>
          <w:szCs w:val="21"/>
        </w:rPr>
        <w:t xml:space="preserve"> 表中内容需认真填写，内容要翔实、全面、条理清晰，阐述准确</w:t>
      </w:r>
      <w:r w:rsidR="00752E97" w:rsidRPr="00EE5A21">
        <w:rPr>
          <w:rFonts w:ascii="仿宋" w:eastAsia="仿宋" w:hAnsi="仿宋" w:hint="eastAsia"/>
          <w:sz w:val="24"/>
          <w:szCs w:val="21"/>
        </w:rPr>
        <w:t>、</w:t>
      </w:r>
      <w:r w:rsidRPr="00EE5A21">
        <w:rPr>
          <w:rFonts w:ascii="仿宋" w:eastAsia="仿宋" w:hAnsi="仿宋" w:hint="eastAsia"/>
          <w:sz w:val="24"/>
          <w:szCs w:val="21"/>
        </w:rPr>
        <w:t>明白。如不符合要求，则不予立项；</w:t>
      </w:r>
    </w:p>
    <w:p w:rsidP="00675874" w:rsidR="00675874" w:rsidRDefault="00675874" w:rsidRPr="00EE5A21">
      <w:pPr>
        <w:rPr>
          <w:rFonts w:ascii="仿宋" w:eastAsia="仿宋" w:hAnsi="仿宋"/>
          <w:sz w:val="24"/>
          <w:szCs w:val="21"/>
        </w:rPr>
      </w:pPr>
      <w:r w:rsidRPr="00EE5A21">
        <w:rPr>
          <w:rFonts w:ascii="仿宋" w:eastAsia="仿宋" w:hAnsi="仿宋"/>
          <w:sz w:val="24"/>
          <w:szCs w:val="21"/>
        </w:rPr>
        <w:t>[注</w:t>
      </w:r>
      <w:r w:rsidR="00227152" w:rsidRPr="00EE5A21">
        <w:rPr>
          <w:rFonts w:ascii="仿宋" w:eastAsia="仿宋" w:hAnsi="仿宋" w:hint="eastAsia"/>
          <w:sz w:val="24"/>
          <w:szCs w:val="21"/>
        </w:rPr>
        <w:t>2</w:t>
      </w:r>
      <w:r w:rsidRPr="00EE5A21">
        <w:rPr>
          <w:rFonts w:ascii="仿宋" w:eastAsia="仿宋" w:hAnsi="仿宋"/>
          <w:sz w:val="24"/>
          <w:szCs w:val="21"/>
        </w:rPr>
        <w:t>] 填写制定或修订项目中，若选择修订必须填写被修订标准号；</w:t>
      </w:r>
    </w:p>
    <w:p w:rsidP="00675874" w:rsidR="00675874" w:rsidRDefault="00675874" w:rsidRPr="00EE5A21">
      <w:pPr>
        <w:rPr>
          <w:rFonts w:ascii="仿宋" w:eastAsia="仿宋" w:hAnsi="仿宋"/>
          <w:sz w:val="24"/>
          <w:szCs w:val="21"/>
        </w:rPr>
      </w:pPr>
      <w:r w:rsidRPr="00EE5A21">
        <w:rPr>
          <w:rFonts w:ascii="仿宋" w:eastAsia="仿宋" w:hAnsi="仿宋"/>
          <w:sz w:val="24"/>
          <w:szCs w:val="21"/>
        </w:rPr>
        <w:t>[注</w:t>
      </w:r>
      <w:r w:rsidR="00227152" w:rsidRPr="00EE5A21">
        <w:rPr>
          <w:rFonts w:ascii="仿宋" w:eastAsia="仿宋" w:hAnsi="仿宋" w:hint="eastAsia"/>
          <w:sz w:val="24"/>
          <w:szCs w:val="21"/>
        </w:rPr>
        <w:t>3</w:t>
      </w:r>
      <w:r w:rsidRPr="00EE5A21">
        <w:rPr>
          <w:rFonts w:ascii="仿宋" w:eastAsia="仿宋" w:hAnsi="仿宋"/>
          <w:sz w:val="24"/>
          <w:szCs w:val="21"/>
        </w:rPr>
        <w:t>] 选择采用国际标准，必须填写采标号及采用程度</w:t>
      </w:r>
      <w:r w:rsidRPr="00EE5A21">
        <w:rPr>
          <w:rFonts w:ascii="仿宋" w:eastAsia="仿宋" w:hAnsi="仿宋" w:hint="eastAsia"/>
          <w:sz w:val="24"/>
          <w:szCs w:val="21"/>
        </w:rPr>
        <w:t>；</w:t>
      </w:r>
    </w:p>
    <w:p w:rsidR="00D304C6" w:rsidRDefault="00675874" w:rsidRPr="007F555F">
      <w:pPr>
        <w:rPr>
          <w:rFonts w:ascii="仿宋" w:eastAsia="仿宋" w:hAnsi="仿宋"/>
          <w:sz w:val="44"/>
          <w:szCs w:val="36"/>
        </w:rPr>
      </w:pPr>
      <w:r w:rsidRPr="00EE5A21">
        <w:rPr>
          <w:rFonts w:ascii="仿宋" w:eastAsia="仿宋" w:hAnsi="仿宋"/>
          <w:sz w:val="24"/>
          <w:szCs w:val="21"/>
        </w:rPr>
        <w:t>[注</w:t>
      </w:r>
      <w:r w:rsidR="00227152" w:rsidRPr="00EE5A21">
        <w:rPr>
          <w:rFonts w:ascii="仿宋" w:eastAsia="仿宋" w:hAnsi="仿宋" w:hint="eastAsia"/>
          <w:sz w:val="24"/>
          <w:szCs w:val="21"/>
        </w:rPr>
        <w:t>4</w:t>
      </w:r>
      <w:r w:rsidRPr="00EE5A21">
        <w:rPr>
          <w:rFonts w:ascii="仿宋" w:eastAsia="仿宋" w:hAnsi="仿宋"/>
          <w:sz w:val="24"/>
          <w:szCs w:val="21"/>
        </w:rPr>
        <w:t>]</w:t>
      </w:r>
      <w:r w:rsidRPr="00EE5A21">
        <w:rPr>
          <w:rFonts w:ascii="仿宋" w:eastAsia="仿宋" w:hAnsi="仿宋" w:hint="eastAsia"/>
          <w:sz w:val="24"/>
          <w:szCs w:val="21"/>
        </w:rPr>
        <w:t xml:space="preserve"> 请在中国金属学会网站下载此表格电子版填写。</w:t>
      </w:r>
    </w:p>
    <w:sectPr w:rsidR="00D304C6" w:rsidRPr="007F555F" w:rsidSect="00D304C6">
      <w:pgSz w:h="16838" w:w="11906"/>
      <w:pgMar w:bottom="1440" w:footer="992" w:gutter="0" w:header="851" w:left="1800" w:right="180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56" w:rsidRDefault="00284B56" w:rsidP="00462071">
      <w:r>
        <w:separator/>
      </w:r>
    </w:p>
  </w:endnote>
  <w:endnote w:type="continuationSeparator" w:id="0">
    <w:p w:rsidR="00284B56" w:rsidRDefault="00284B56" w:rsidP="0046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462071" w:rsidR="00284B56" w:rsidRDefault="00284B56">
      <w:r>
        <w:separator/>
      </w:r>
    </w:p>
  </w:footnote>
  <w:footnote w:id="0" w:type="continuationSeparator">
    <w:p w:rsidP="00462071" w:rsidR="00284B56" w:rsidRDefault="00284B56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2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874"/>
    <w:rsid w:val="00051C0A"/>
    <w:rsid w:val="000F03A1"/>
    <w:rsid w:val="001449B7"/>
    <w:rsid w:val="00146187"/>
    <w:rsid w:val="0017653E"/>
    <w:rsid w:val="001E0A0A"/>
    <w:rsid w:val="00220565"/>
    <w:rsid w:val="0022598C"/>
    <w:rsid w:val="00227152"/>
    <w:rsid w:val="00284B56"/>
    <w:rsid w:val="002E4D6C"/>
    <w:rsid w:val="002F585E"/>
    <w:rsid w:val="003122B6"/>
    <w:rsid w:val="003F2344"/>
    <w:rsid w:val="003F364E"/>
    <w:rsid w:val="003F6741"/>
    <w:rsid w:val="00462071"/>
    <w:rsid w:val="005E03C1"/>
    <w:rsid w:val="00634B7A"/>
    <w:rsid w:val="00675874"/>
    <w:rsid w:val="00752E97"/>
    <w:rsid w:val="00752EED"/>
    <w:rsid w:val="007A6C3C"/>
    <w:rsid w:val="007A7ED3"/>
    <w:rsid w:val="007E1437"/>
    <w:rsid w:val="007E26A7"/>
    <w:rsid w:val="007F555F"/>
    <w:rsid w:val="00805FF3"/>
    <w:rsid w:val="00832FBF"/>
    <w:rsid w:val="008569A2"/>
    <w:rsid w:val="008A0415"/>
    <w:rsid w:val="008B6209"/>
    <w:rsid w:val="008D37E4"/>
    <w:rsid w:val="00956ABA"/>
    <w:rsid w:val="009719B2"/>
    <w:rsid w:val="00972695"/>
    <w:rsid w:val="00A134AD"/>
    <w:rsid w:val="00A5174B"/>
    <w:rsid w:val="00A54BE4"/>
    <w:rsid w:val="00A82CDF"/>
    <w:rsid w:val="00AA57B5"/>
    <w:rsid w:val="00AC1A82"/>
    <w:rsid w:val="00B22133"/>
    <w:rsid w:val="00B803A7"/>
    <w:rsid w:val="00B822AD"/>
    <w:rsid w:val="00B86CE0"/>
    <w:rsid w:val="00BC0FF9"/>
    <w:rsid w:val="00BF6A0C"/>
    <w:rsid w:val="00C21B03"/>
    <w:rsid w:val="00CA0A90"/>
    <w:rsid w:val="00CE6125"/>
    <w:rsid w:val="00CE7570"/>
    <w:rsid w:val="00D304C6"/>
    <w:rsid w:val="00D863E3"/>
    <w:rsid w:val="00DB2413"/>
    <w:rsid w:val="00E0028A"/>
    <w:rsid w:val="00E03569"/>
    <w:rsid w:val="00E401D8"/>
    <w:rsid w:val="00E501CE"/>
    <w:rsid w:val="00EE454E"/>
    <w:rsid w:val="00EE5A21"/>
    <w:rsid w:val="00F264FF"/>
    <w:rsid w:val="00FA659D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75874"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67587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Char"/>
    <w:uiPriority w:val="99"/>
    <w:semiHidden/>
    <w:unhideWhenUsed/>
    <w:rsid w:val="00675874"/>
    <w:rPr>
      <w:sz w:val="18"/>
      <w:szCs w:val="18"/>
    </w:rPr>
  </w:style>
  <w:style w:customStyle="1" w:styleId="Char" w:type="character">
    <w:name w:val="批注框文本 Char"/>
    <w:basedOn w:val="a0"/>
    <w:link w:val="a4"/>
    <w:uiPriority w:val="99"/>
    <w:semiHidden/>
    <w:rsid w:val="00675874"/>
    <w:rPr>
      <w:sz w:val="18"/>
      <w:szCs w:val="18"/>
    </w:rPr>
  </w:style>
  <w:style w:styleId="a5" w:type="paragraph">
    <w:name w:val="header"/>
    <w:basedOn w:val="a"/>
    <w:link w:val="Char0"/>
    <w:uiPriority w:val="99"/>
    <w:unhideWhenUsed/>
    <w:rsid w:val="0046207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0" w:type="character">
    <w:name w:val="页眉 Char"/>
    <w:basedOn w:val="a0"/>
    <w:link w:val="a5"/>
    <w:uiPriority w:val="99"/>
    <w:rsid w:val="00462071"/>
    <w:rPr>
      <w:sz w:val="18"/>
      <w:szCs w:val="18"/>
    </w:rPr>
  </w:style>
  <w:style w:styleId="a6" w:type="paragraph">
    <w:name w:val="footer"/>
    <w:basedOn w:val="a"/>
    <w:link w:val="Char1"/>
    <w:uiPriority w:val="99"/>
    <w:unhideWhenUsed/>
    <w:rsid w:val="0046207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1" w:type="character">
    <w:name w:val="页脚 Char"/>
    <w:basedOn w:val="a0"/>
    <w:link w:val="a6"/>
    <w:uiPriority w:val="99"/>
    <w:rsid w:val="00462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e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2018-02-12T02:49:00Z</dcterms:created>
  <dc:creator>PC</dc:creator>
  <cp:lastModifiedBy>Windows 用户</cp:lastModifiedBy>
  <dcterms:modified xsi:type="dcterms:W3CDTF">2020-05-02T17:18:00Z</dcterms:modified>
  <cp:revision>40</cp:revision>
</cp:coreProperties>
</file>