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w="9639" w:h="1273" w:hRule="exact" w:hSpace="181" w:vSpace="181" w:wrap="around" w:vAnchor="page" w:hAnchor="page" w:x="1404" w:y="2329" w:anchorLock="1"/>
        <w:kinsoku w:val="0"/>
        <w:overflowPunct w:val="0"/>
        <w:autoSpaceDE w:val="0"/>
        <w:autoSpaceDN w:val="0"/>
        <w:spacing w:line="0" w:lineRule="atLeast"/>
        <w:ind w:left="0"/>
        <w:jc w:val="distribute"/>
        <w:rPr>
          <w:rFonts w:ascii="黑体" w:hAnsi="黑体" w:eastAsia="黑体"/>
          <w:bCs/>
          <w:spacing w:val="20"/>
          <w:kern w:val="0"/>
          <w:sz w:val="84"/>
          <w:szCs w:val="84"/>
        </w:rPr>
      </w:pPr>
      <w:bookmarkStart w:id="0" w:name="_Hlk37324870"/>
      <w:r>
        <w:rPr>
          <w:rFonts w:hint="eastAsia" w:ascii="黑体" w:hAnsi="黑体" w:eastAsia="黑体"/>
          <w:bCs/>
          <w:spacing w:val="20"/>
          <w:kern w:val="0"/>
          <w:sz w:val="84"/>
          <w:szCs w:val="84"/>
        </w:rPr>
        <w:t>团体标准</w:t>
      </w:r>
    </w:p>
    <w:p>
      <w:pPr>
        <w:framePr w:w="9140" w:h="1242" w:hRule="exact" w:hSpace="284" w:wrap="around" w:vAnchor="page" w:hAnchor="page" w:x="1709" w:y="3409" w:anchorLock="1"/>
        <w:widowControl/>
        <w:wordWrap w:val="0"/>
        <w:spacing w:before="357" w:line="280" w:lineRule="exact"/>
        <w:ind w:left="0"/>
        <w:jc w:val="right"/>
        <w:rPr>
          <w:rFonts w:ascii="黑体" w:hAnsi="黑体" w:eastAsia="黑体"/>
          <w:kern w:val="0"/>
          <w:sz w:val="28"/>
          <w:szCs w:val="28"/>
        </w:rPr>
      </w:pPr>
      <w:r>
        <w:rPr>
          <w:rFonts w:hint="eastAsia" w:eastAsia="黑体"/>
          <w:kern w:val="0"/>
          <w:sz w:val="28"/>
          <w:szCs w:val="28"/>
          <w:highlight w:val="yellow"/>
        </w:rPr>
        <w:t>T</w:t>
      </w:r>
      <w:r>
        <w:rPr>
          <w:rFonts w:ascii="黑体" w:eastAsia="黑体"/>
          <w:kern w:val="0"/>
          <w:sz w:val="28"/>
          <w:szCs w:val="28"/>
          <w:highlight w:val="yellow"/>
        </w:rPr>
        <w:fldChar w:fldCharType="begin">
          <w:ffData>
            <w:name w:val="StdNo1"/>
            <w:enabled/>
            <w:calcOnExit w:val="0"/>
            <w:textInput>
              <w:default w:val="/CSMXXXX"/>
            </w:textInput>
          </w:ffData>
        </w:fldChar>
      </w:r>
      <w:bookmarkStart w:id="1" w:name="StdNo1"/>
      <w:r>
        <w:rPr>
          <w:rFonts w:ascii="黑体" w:eastAsia="黑体"/>
          <w:kern w:val="0"/>
          <w:sz w:val="28"/>
          <w:szCs w:val="28"/>
          <w:highlight w:val="yellow"/>
        </w:rPr>
        <w:instrText xml:space="preserve"> FORMTEXT </w:instrText>
      </w:r>
      <w:r>
        <w:rPr>
          <w:rFonts w:ascii="黑体" w:eastAsia="黑体"/>
          <w:kern w:val="0"/>
          <w:sz w:val="28"/>
          <w:szCs w:val="28"/>
          <w:highlight w:val="yellow"/>
        </w:rPr>
        <w:fldChar w:fldCharType="separate"/>
      </w:r>
      <w:r>
        <w:rPr>
          <w:rFonts w:ascii="黑体" w:eastAsia="黑体"/>
          <w:kern w:val="0"/>
          <w:sz w:val="28"/>
          <w:szCs w:val="28"/>
          <w:highlight w:val="yellow"/>
        </w:rPr>
        <w:t>/CSM</w:t>
      </w:r>
      <w:r>
        <w:rPr>
          <w:rFonts w:ascii="黑体" w:eastAsia="黑体"/>
          <w:kern w:val="0"/>
          <w:sz w:val="28"/>
          <w:szCs w:val="28"/>
          <w:highlight w:val="yellow"/>
        </w:rPr>
        <w:fldChar w:fldCharType="end"/>
      </w:r>
      <w:bookmarkEnd w:id="1"/>
      <w:r>
        <w:rPr>
          <w:rFonts w:ascii="黑体" w:eastAsia="黑体"/>
          <w:kern w:val="0"/>
          <w:sz w:val="28"/>
          <w:szCs w:val="28"/>
          <w:highlight w:val="yellow"/>
        </w:rPr>
        <w:t xml:space="preserve"> </w:t>
      </w:r>
      <w:r>
        <w:rPr>
          <w:rFonts w:hint="eastAsia" w:ascii="宋体" w:hAnsi="宋体"/>
          <w:color w:val="FF0000"/>
          <w:kern w:val="0"/>
          <w:sz w:val="28"/>
          <w:szCs w:val="28"/>
          <w:highlight w:val="yellow"/>
        </w:rPr>
        <w:t>×</w:t>
      </w:r>
      <w:r>
        <w:rPr>
          <w:rFonts w:hint="eastAsia" w:ascii="宋体" w:hAnsi="宋体"/>
          <w:color w:val="FF0000"/>
          <w:kern w:val="0"/>
          <w:sz w:val="28"/>
          <w:szCs w:val="28"/>
        </w:rPr>
        <w:t>×××</w:t>
      </w:r>
      <w:r>
        <w:rPr>
          <w:rFonts w:ascii="黑体" w:eastAsia="黑体"/>
          <w:kern w:val="0"/>
          <w:sz w:val="28"/>
          <w:szCs w:val="28"/>
          <w:highlight w:val="yellow"/>
        </w:rPr>
        <w:t xml:space="preserve"> </w:t>
      </w:r>
      <w:r>
        <w:rPr>
          <w:rFonts w:ascii="黑体" w:hAnsi="黑体" w:eastAsia="黑体"/>
          <w:kern w:val="0"/>
          <w:sz w:val="28"/>
          <w:szCs w:val="28"/>
          <w:highlight w:val="yellow"/>
        </w:rPr>
        <w:t>—</w:t>
      </w:r>
      <w:r>
        <w:rPr>
          <w:rFonts w:ascii="黑体" w:hAnsi="黑体" w:eastAsia="黑体"/>
          <w:kern w:val="0"/>
          <w:sz w:val="28"/>
          <w:szCs w:val="28"/>
          <w:highlight w:val="yellow"/>
        </w:rPr>
        <w:fldChar w:fldCharType="begin">
          <w:ffData>
            <w:name w:val="StdNo2"/>
            <w:enabled/>
            <w:calcOnExit w:val="0"/>
            <w:textInput>
              <w:default w:val="2021"/>
            </w:textInput>
          </w:ffData>
        </w:fldChar>
      </w:r>
      <w:bookmarkStart w:id="2" w:name="StdNo2"/>
      <w:r>
        <w:rPr>
          <w:rFonts w:ascii="黑体" w:hAnsi="黑体" w:eastAsia="黑体"/>
          <w:kern w:val="0"/>
          <w:sz w:val="28"/>
          <w:szCs w:val="28"/>
          <w:highlight w:val="yellow"/>
        </w:rPr>
        <w:instrText xml:space="preserve"> FORMTEXT </w:instrText>
      </w:r>
      <w:r>
        <w:rPr>
          <w:rFonts w:ascii="黑体" w:hAnsi="黑体" w:eastAsia="黑体"/>
          <w:kern w:val="0"/>
          <w:sz w:val="28"/>
          <w:szCs w:val="28"/>
          <w:highlight w:val="yellow"/>
        </w:rPr>
        <w:fldChar w:fldCharType="separate"/>
      </w:r>
      <w:r>
        <w:rPr>
          <w:rFonts w:ascii="黑体" w:hAnsi="黑体" w:eastAsia="黑体"/>
          <w:kern w:val="0"/>
          <w:sz w:val="28"/>
          <w:szCs w:val="28"/>
          <w:highlight w:val="yellow"/>
        </w:rPr>
        <w:t>202</w:t>
      </w:r>
      <w:r>
        <w:rPr>
          <w:rFonts w:hint="eastAsia" w:ascii="黑体" w:hAnsi="黑体" w:eastAsia="黑体"/>
          <w:kern w:val="0"/>
          <w:sz w:val="28"/>
          <w:szCs w:val="28"/>
          <w:highlight w:val="yellow"/>
        </w:rPr>
        <w:t>2</w:t>
      </w:r>
      <w:r>
        <w:rPr>
          <w:rFonts w:ascii="黑体" w:hAnsi="黑体" w:eastAsia="黑体"/>
          <w:kern w:val="0"/>
          <w:sz w:val="28"/>
          <w:szCs w:val="28"/>
          <w:highlight w:val="yellow"/>
        </w:rPr>
        <w:fldChar w:fldCharType="end"/>
      </w:r>
      <w:bookmarkEnd w:id="2"/>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framePr w:w="9140" w:h="1242" w:hRule="exact" w:hSpace="284" w:wrap="around" w:vAnchor="page" w:hAnchor="page" w:x="1709" w:y="3409" w:anchorLock="1"/>
              <w:widowControl/>
              <w:spacing w:before="57" w:line="280" w:lineRule="exact"/>
              <w:ind w:left="0" w:right="840"/>
              <w:rPr>
                <w:rFonts w:ascii="宋体"/>
                <w:kern w:val="0"/>
                <w:szCs w:val="21"/>
              </w:rPr>
            </w:pPr>
            <w:r>
              <w:rPr>
                <w:rFonts w:ascii="宋体"/>
                <w:kern w:val="0"/>
                <w:szCs w:val="21"/>
              </w:rP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9" name="矩形 29"/>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5g8svW&#10;AAAACAEAAA8AAAAAAAAAAQAgAAAAIgAAAGRycy9kb3ducmV2LnhtbFBLAQIUABQAAAAIAIdO4kAA&#10;TngiIgIAAEEEAAAOAAAAAAAAAAEAIAAAACUBAABkcnMvZTJvRG9jLnhtbFBLBQYAAAAABgAGAFkB&#10;AAC5BQAAAAA=&#10;">
                      <v:fill on="t" focussize="0,0"/>
                      <v:stroke on="f"/>
                      <v:imagedata o:title=""/>
                      <o:lock v:ext="edit" aspectratio="f"/>
                      <v:textbox>
                        <w:txbxContent>
                          <w:p/>
                        </w:txbxContent>
                      </v:textbox>
                    </v:rect>
                  </w:pict>
                </mc:Fallback>
              </mc:AlternateContent>
            </w:r>
          </w:p>
        </w:tc>
      </w:tr>
    </w:tbl>
    <w:p>
      <w:pPr>
        <w:framePr w:w="9140" w:h="1242" w:hRule="exact" w:hSpace="284" w:wrap="around" w:vAnchor="page" w:hAnchor="page" w:x="1709" w:y="3409" w:anchorLock="1"/>
        <w:widowControl/>
        <w:spacing w:before="357" w:line="280" w:lineRule="exact"/>
        <w:ind w:left="0"/>
        <w:jc w:val="right"/>
        <w:rPr>
          <w:rFonts w:ascii="黑体" w:hAnsi="黑体" w:eastAsia="黑体"/>
          <w:kern w:val="0"/>
          <w:sz w:val="28"/>
          <w:szCs w:val="28"/>
        </w:rPr>
      </w:pPr>
    </w:p>
    <w:p>
      <w:pPr>
        <w:framePr w:w="9140" w:h="1242" w:hRule="exact" w:hSpace="284" w:wrap="around" w:vAnchor="page" w:hAnchor="page" w:x="1709" w:y="3409" w:anchorLock="1"/>
        <w:widowControl/>
        <w:spacing w:before="357" w:line="280" w:lineRule="exact"/>
        <w:ind w:left="0"/>
        <w:jc w:val="right"/>
        <w:rPr>
          <w:rFonts w:ascii="黑体" w:hAnsi="黑体" w:eastAsia="黑体"/>
          <w:kern w:val="0"/>
          <w:sz w:val="28"/>
          <w:szCs w:val="28"/>
        </w:rPr>
      </w:pPr>
    </w:p>
    <w:p>
      <w:pPr>
        <w:framePr w:w="9718" w:h="6917" w:hRule="exact" w:wrap="around" w:vAnchor="page" w:hAnchor="page" w:x="1091" w:y="6313" w:anchorLock="1"/>
        <w:spacing w:before="370"/>
        <w:ind w:left="0"/>
        <w:jc w:val="center"/>
        <w:textAlignment w:val="center"/>
        <w:rPr>
          <w:rFonts w:ascii="黑体" w:hAnsi="黑体" w:eastAsia="黑体"/>
          <w:kern w:val="0"/>
          <w:sz w:val="48"/>
          <w:szCs w:val="48"/>
        </w:rPr>
      </w:pPr>
      <w:r>
        <w:rPr>
          <w:rFonts w:hint="eastAsia" w:ascii="黑体" w:hAnsi="黑体" w:eastAsia="黑体"/>
          <w:kern w:val="0"/>
          <w:sz w:val="48"/>
          <w:szCs w:val="48"/>
        </w:rPr>
        <w:t>船体结构用钢</w:t>
      </w:r>
    </w:p>
    <w:p>
      <w:pPr>
        <w:framePr w:w="9718" w:h="6917" w:hRule="exact" w:wrap="around" w:vAnchor="page" w:hAnchor="page" w:x="1091" w:y="6313" w:anchorLock="1"/>
        <w:spacing w:before="370"/>
        <w:ind w:left="0"/>
        <w:jc w:val="center"/>
        <w:textAlignment w:val="center"/>
        <w:rPr>
          <w:rFonts w:ascii="黑体" w:hAnsi="黑体" w:eastAsia="黑体"/>
          <w:kern w:val="0"/>
          <w:sz w:val="48"/>
          <w:szCs w:val="48"/>
        </w:rPr>
      </w:pPr>
      <w:r>
        <w:rPr>
          <w:rFonts w:hint="eastAsia" w:ascii="黑体" w:hAnsi="黑体" w:eastAsia="黑体"/>
          <w:kern w:val="0"/>
          <w:sz w:val="48"/>
          <w:szCs w:val="48"/>
        </w:rPr>
        <w:t>激光电弧复合焊接工艺规范</w:t>
      </w:r>
    </w:p>
    <w:p>
      <w:pPr>
        <w:framePr w:w="9718" w:h="6917" w:hRule="exact" w:wrap="around" w:vAnchor="page" w:hAnchor="page" w:x="1091" w:y="6313" w:anchorLock="1"/>
        <w:spacing w:before="370"/>
        <w:ind w:left="0"/>
        <w:jc w:val="center"/>
        <w:textAlignment w:val="center"/>
        <w:rPr>
          <w:rFonts w:eastAsia="黑体"/>
          <w:kern w:val="0"/>
          <w:sz w:val="28"/>
          <w:szCs w:val="28"/>
        </w:rPr>
      </w:pPr>
      <w:r>
        <w:rPr>
          <w:rFonts w:hint="eastAsia" w:eastAsia="黑体"/>
          <w:kern w:val="0"/>
          <w:sz w:val="28"/>
          <w:szCs w:val="28"/>
        </w:rPr>
        <w:t>L</w:t>
      </w:r>
      <w:r>
        <w:rPr>
          <w:rFonts w:eastAsia="黑体"/>
          <w:kern w:val="0"/>
          <w:sz w:val="28"/>
          <w:szCs w:val="28"/>
        </w:rPr>
        <w:t>aser arc hybrid welding</w:t>
      </w:r>
      <w:r>
        <w:rPr>
          <w:rFonts w:hint="eastAsia" w:eastAsia="黑体"/>
          <w:kern w:val="0"/>
          <w:sz w:val="28"/>
          <w:szCs w:val="28"/>
        </w:rPr>
        <w:t xml:space="preserve"> p</w:t>
      </w:r>
      <w:r>
        <w:rPr>
          <w:rFonts w:eastAsia="黑体"/>
          <w:kern w:val="0"/>
          <w:sz w:val="28"/>
          <w:szCs w:val="28"/>
        </w:rPr>
        <w:t>rocess specification for hull structural steel</w:t>
      </w:r>
    </w:p>
    <w:tbl>
      <w:tblPr>
        <w:tblStyle w:val="36"/>
        <w:tblW w:w="9517" w:type="dxa"/>
        <w:tblInd w:w="1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2" w:hRule="atLeast"/>
        </w:trPr>
        <w:tc>
          <w:tcPr>
            <w:tcW w:w="9517" w:type="dxa"/>
            <w:tcBorders>
              <w:top w:val="nil"/>
              <w:left w:val="nil"/>
              <w:bottom w:val="nil"/>
              <w:right w:val="nil"/>
            </w:tcBorders>
          </w:tcPr>
          <w:p>
            <w:pPr>
              <w:framePr w:w="9718" w:h="6917" w:hRule="exact" w:wrap="around" w:vAnchor="page" w:hAnchor="page" w:x="1091" w:y="6313" w:anchorLock="1"/>
              <w:spacing w:before="440" w:after="160"/>
              <w:ind w:left="0"/>
              <w:jc w:val="center"/>
              <w:textAlignment w:val="center"/>
              <w:rPr>
                <w:rFonts w:ascii="宋体"/>
                <w:kern w:val="0"/>
                <w:sz w:val="24"/>
                <w:szCs w:val="28"/>
              </w:rPr>
            </w:pPr>
            <w:r>
              <w:rPr>
                <w:rFonts w:ascii="宋体"/>
                <w:kern w:val="0"/>
                <w:sz w:val="24"/>
                <w:szCs w:val="28"/>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28" name="矩形 28"/>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WJrpLVAAAA&#10;CgEAAA8AAAAAAAAAAQAgAAAAIgAAAGRycy9kb3ducmV2LnhtbFBLAQIUABQAAAAIAIdO4kDZY70r&#10;IAIAAEEEAAAOAAAAAAAAAAEAIAAAACQBAABkcnMvZTJvRG9jLnhtbFBLBQYAAAAABgAGAFkBAAC2&#10;BQAAAAA=&#10;">
                      <v:fill on="t" focussize="0,0"/>
                      <v:stroke on="f"/>
                      <v:imagedata o:title=""/>
                      <o:lock v:ext="edit" aspectratio="f"/>
                      <v:textbox>
                        <w:txbxContent>
                          <w:p/>
                        </w:txbxContent>
                      </v:textbox>
                      <w10:anchorlock/>
                    </v:rect>
                  </w:pict>
                </mc:Fallback>
              </mc:AlternateContent>
            </w:r>
            <w:r>
              <w:rPr>
                <w:rFonts w:ascii="宋体"/>
                <w:kern w:val="0"/>
                <w:sz w:val="24"/>
                <w:szCs w:val="28"/>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27" name="矩形 27"/>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txbx>
                              <w:txbxContent>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A+GL5dYA&#10;AAAJAQAADwAAAAAAAAABACAAAAAiAAAAZHJzL2Rvd25yZXYueG1sUEsBAhQAFAAAAAgAh07iQKUH&#10;cnshAgAAQQQAAA4AAAAAAAAAAQAgAAAAJQEAAGRycy9lMm9Eb2MueG1sUEsFBgAAAAAGAAYAWQEA&#10;ALgFAAAAAA==&#10;">
                      <v:fill on="t" focussize="0,0"/>
                      <v:stroke on="f"/>
                      <v:imagedata o:title=""/>
                      <o:lock v:ext="edit" aspectratio="f"/>
                      <v:textbox>
                        <w:txbxContent>
                          <w:p/>
                        </w:txbxContent>
                      </v:textbox>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rPr>
        <w:tc>
          <w:tcPr>
            <w:tcW w:w="9517" w:type="dxa"/>
            <w:tcBorders>
              <w:top w:val="nil"/>
              <w:left w:val="nil"/>
              <w:bottom w:val="nil"/>
              <w:right w:val="nil"/>
            </w:tcBorders>
          </w:tcPr>
          <w:p>
            <w:pPr>
              <w:framePr w:w="9718" w:h="6917" w:hRule="exact" w:wrap="around" w:vAnchor="page" w:hAnchor="page" w:x="1091" w:y="6313" w:anchorLock="1"/>
              <w:spacing w:before="180" w:after="160" w:line="180" w:lineRule="exact"/>
              <w:ind w:left="0"/>
              <w:jc w:val="center"/>
              <w:textAlignment w:val="center"/>
              <w:rPr>
                <w:rFonts w:ascii="宋体"/>
                <w:kern w:val="0"/>
                <w:szCs w:val="28"/>
              </w:rPr>
            </w:pPr>
          </w:p>
        </w:tc>
      </w:tr>
    </w:tbl>
    <w:p>
      <w:pPr>
        <w:framePr w:w="3997" w:h="471" w:hRule="exact" w:vSpace="181" w:wrap="around" w:vAnchor="page" w:hAnchor="page" w:x="1419" w:y="14097" w:anchorLock="1"/>
        <w:widowControl/>
        <w:ind w:left="0"/>
        <w:jc w:val="left"/>
        <w:rPr>
          <w:rFonts w:eastAsia="黑体"/>
          <w:kern w:val="0"/>
          <w:sz w:val="28"/>
          <w:szCs w:val="20"/>
        </w:rPr>
      </w:pPr>
      <w:r>
        <w:rPr>
          <w:rFonts w:hint="eastAsia" w:ascii="黑体" w:eastAsia="黑体"/>
          <w:kern w:val="0"/>
          <w:sz w:val="28"/>
          <w:szCs w:val="20"/>
        </w:rPr>
        <w:t>2022</w:t>
      </w:r>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hint="eastAsia" w:eastAsia="黑体"/>
          <w:kern w:val="0"/>
          <w:sz w:val="28"/>
          <w:szCs w:val="20"/>
        </w:rPr>
        <w:t>XX</w:t>
      </w:r>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hint="eastAsia" w:eastAsia="黑体"/>
          <w:kern w:val="0"/>
          <w:sz w:val="28"/>
          <w:szCs w:val="20"/>
        </w:rPr>
        <w:t>XX发布</w:t>
      </w:r>
      <w:r>
        <w:rPr>
          <w:rFonts w:eastAsia="黑体"/>
          <w:kern w:val="0"/>
          <w:sz w:val="28"/>
          <w:szCs w:val="20"/>
        </w:rPr>
        <mc:AlternateContent>
          <mc:Choice Requires="wps">
            <w:drawing>
              <wp:anchor distT="0" distB="0" distL="114300" distR="114300" simplePos="0" relativeHeight="251664384" behindDoc="0" locked="1" layoutInCell="1" allowOverlap="1">
                <wp:simplePos x="0" y="0"/>
                <wp:positionH relativeFrom="column">
                  <wp:posOffset>0</wp:posOffset>
                </wp:positionH>
                <wp:positionV relativeFrom="page">
                  <wp:posOffset>9251950</wp:posOffset>
                </wp:positionV>
                <wp:extent cx="6120130" cy="0"/>
                <wp:effectExtent l="0" t="0" r="0" b="0"/>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728.5pt;height:0pt;width:481.9pt;mso-position-vertical-relative:page;z-index:251664384;mso-width-relative:page;mso-height-relative:page;" filled="f" stroked="t" coordsize="21600,21600" o:gfxdata="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e0DZ9UA&#10;AAAKAQAADwAAAAAAAAABACAAAAAiAAAAZHJzL2Rvd25yZXYueG1sUEsBAhQAFAAAAAgAh07iQETg&#10;2eLpAQAAugMAAA4AAAAAAAAAAQAgAAAAJAEAAGRycy9lMm9Eb2MueG1sUEsFBgAAAAAGAAYAWQEA&#10;AH8FAAAAAA==&#10;">
                <v:fill on="f" focussize="0,0"/>
                <v:stroke color="#000000" joinstyle="round"/>
                <v:imagedata o:title=""/>
                <o:lock v:ext="edit" aspectratio="f"/>
                <w10:anchorlock/>
              </v:line>
            </w:pict>
          </mc:Fallback>
        </mc:AlternateContent>
      </w:r>
    </w:p>
    <w:p>
      <w:pPr>
        <w:framePr w:w="3997" w:h="471" w:hRule="exact" w:vSpace="181" w:wrap="around" w:vAnchor="page" w:hAnchor="page" w:x="7089" w:y="14097"/>
        <w:widowControl/>
        <w:ind w:left="0"/>
        <w:jc w:val="right"/>
        <w:rPr>
          <w:rFonts w:eastAsia="黑体"/>
          <w:kern w:val="0"/>
          <w:sz w:val="28"/>
          <w:szCs w:val="20"/>
        </w:rPr>
      </w:pPr>
      <w:r>
        <w:rPr>
          <w:rFonts w:hint="eastAsia" w:ascii="黑体" w:eastAsia="黑体"/>
          <w:kern w:val="0"/>
          <w:sz w:val="28"/>
          <w:szCs w:val="20"/>
        </w:rPr>
        <w:t>2023</w:t>
      </w:r>
      <w:r>
        <w:rPr>
          <w:rFonts w:ascii="黑体" w:eastAsia="黑体"/>
          <w:kern w:val="0"/>
          <w:sz w:val="28"/>
          <w:szCs w:val="20"/>
        </w:rPr>
        <w:t>-</w:t>
      </w:r>
      <w:r>
        <w:rPr>
          <w:rFonts w:eastAsia="黑体"/>
          <w:kern w:val="0"/>
          <w:sz w:val="28"/>
          <w:szCs w:val="20"/>
        </w:rPr>
        <w:t xml:space="preserve"> </w:t>
      </w:r>
      <w:r>
        <w:rPr>
          <w:rFonts w:hint="eastAsia" w:eastAsia="黑体"/>
          <w:kern w:val="0"/>
          <w:sz w:val="28"/>
          <w:szCs w:val="20"/>
        </w:rPr>
        <w:t>XX</w:t>
      </w:r>
      <w:r>
        <w:rPr>
          <w:rFonts w:eastAsia="黑体"/>
          <w:kern w:val="0"/>
          <w:sz w:val="28"/>
          <w:szCs w:val="20"/>
        </w:rPr>
        <w:t xml:space="preserve"> </w:t>
      </w:r>
      <w:r>
        <w:rPr>
          <w:rFonts w:ascii="黑体" w:eastAsia="黑体"/>
          <w:kern w:val="0"/>
          <w:sz w:val="28"/>
          <w:szCs w:val="20"/>
        </w:rPr>
        <w:t>-</w:t>
      </w:r>
      <w:r>
        <w:rPr>
          <w:rFonts w:eastAsia="黑体"/>
          <w:kern w:val="0"/>
          <w:sz w:val="28"/>
          <w:szCs w:val="20"/>
        </w:rPr>
        <w:t xml:space="preserve"> </w:t>
      </w:r>
      <w:r>
        <w:rPr>
          <w:rFonts w:hint="eastAsia" w:eastAsia="黑体"/>
          <w:kern w:val="0"/>
          <w:sz w:val="28"/>
          <w:szCs w:val="20"/>
        </w:rPr>
        <w:t>XX实施</w:t>
      </w:r>
    </w:p>
    <w:p>
      <w:pPr>
        <w:pStyle w:val="125"/>
        <w:framePr w:wrap="around" w:x="1907" w:y="14590"/>
        <w:rPr>
          <w:rFonts w:ascii="黑体" w:hAnsi="黑体" w:eastAsia="黑体"/>
          <w:b w:val="0"/>
          <w:w w:val="100"/>
        </w:rPr>
      </w:pPr>
      <w:bookmarkStart w:id="3" w:name="_Hlk37324971"/>
      <w:r>
        <w:rPr>
          <w:rFonts w:hint="eastAsia" w:ascii="黑体" w:hAnsi="黑体" w:eastAsia="黑体"/>
          <w:b w:val="0"/>
          <w:w w:val="100"/>
        </w:rPr>
        <w:t>中国金属学会 发布</w:t>
      </w:r>
      <w:bookmarkEnd w:id="3"/>
    </w:p>
    <w:p>
      <w:pPr>
        <w:ind w:left="0"/>
        <w:rPr>
          <w:rFonts w:ascii="黑体" w:hAnsi="黑体" w:eastAsia="黑体" w:cs="黑体"/>
          <w:color w:val="000000"/>
        </w:rPr>
      </w:pPr>
      <w:r>
        <w:rPr>
          <w:rFonts w:hint="eastAsia" w:ascii="黑体" w:hAnsi="黑体" w:eastAsia="黑体" w:cs="黑体"/>
          <w:color w:val="000000"/>
        </w:rPr>
        <w:t>ICS 77.180</w:t>
      </w:r>
    </w:p>
    <w:p>
      <w:pPr>
        <w:ind w:left="0"/>
        <w:rPr>
          <w:rFonts w:ascii="黑体" w:hAnsi="黑体" w:eastAsia="黑体" w:cs="黑体"/>
          <w:color w:val="000000"/>
        </w:rPr>
      </w:pPr>
      <w:r>
        <w:rPr>
          <w:rFonts w:hint="eastAsia" w:ascii="黑体" w:hAnsi="黑体" w:eastAsia="黑体" w:cs="黑体"/>
          <w:color w:val="000000"/>
        </w:rPr>
        <w:t>CCS H 40</w:t>
      </w:r>
    </w:p>
    <w:p>
      <w:pPr>
        <w:pStyle w:val="26"/>
        <w:shd w:val="clear" w:color="auto" w:fill="C0C0C0"/>
        <w:ind w:left="0" w:firstLine="0" w:firstLineChars="0"/>
        <w:rPr>
          <w:rFonts w:ascii="Times New Roman"/>
        </w:rPr>
        <w:sectPr>
          <w:headerReference r:id="rId3" w:type="even"/>
          <w:footerReference r:id="rId4" w:type="even"/>
          <w:pgSz w:w="11906" w:h="16838"/>
          <w:pgMar w:top="567" w:right="850" w:bottom="1134" w:left="1418" w:header="0" w:footer="0" w:gutter="0"/>
          <w:pgNumType w:start="1"/>
          <w:cols w:space="720" w:num="1"/>
          <w:docGrid w:type="lines" w:linePitch="312" w:charSpace="0"/>
        </w:sectPr>
      </w:pPr>
      <w:r>
        <w:rPr>
          <w:rFonts w:ascii="黑体" w:hAnsi="黑体" w:eastAsia="黑体"/>
          <w:b/>
          <w:kern w:val="2"/>
          <w:szCs w:val="24"/>
        </w:rPr>
        <mc:AlternateContent>
          <mc:Choice Requires="wps">
            <w:drawing>
              <wp:anchor distT="0" distB="0" distL="114300" distR="114300" simplePos="0" relativeHeight="251666432" behindDoc="0" locked="0" layoutInCell="1" allowOverlap="1">
                <wp:simplePos x="0" y="0"/>
                <wp:positionH relativeFrom="column">
                  <wp:posOffset>24765</wp:posOffset>
                </wp:positionH>
                <wp:positionV relativeFrom="paragraph">
                  <wp:posOffset>2343150</wp:posOffset>
                </wp:positionV>
                <wp:extent cx="6120130" cy="0"/>
                <wp:effectExtent l="0" t="0" r="0" b="0"/>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5pt;margin-top:184.5pt;height:0pt;width:481.9pt;z-index:251666432;mso-width-relative:page;mso-height-relative:page;" filled="f" stroked="t" coordsize="21600,21600" o:gfxdata="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c6jAjW&#10;AAAACQEAAA8AAAAAAAAAAQAgAAAAIgAAAGRycy9kb3ducmV2LnhtbFBLAQIUABQAAAAIAIdO4kAV&#10;ejh76QEAALoDAAAOAAAAAAAAAAEAIAAAACUBAABkcnMvZTJvRG9jLnhtbFBLBQYAAAAABgAGAFkB&#10;AACABQAAAAA=&#10;">
                <v:fill on="f" focussize="0,0"/>
                <v:stroke color="#000000" joinstyle="round"/>
                <v:imagedata o:title=""/>
                <o:lock v:ext="edit" aspectratio="f"/>
              </v:line>
            </w:pict>
          </mc:Fallback>
        </mc:AlternateContent>
      </w:r>
      <w:r>
        <w:rPr>
          <w:rFonts w:ascii="黑体" w:hAnsi="黑体" w:eastAsia="黑体"/>
          <w:b/>
          <w:kern w:val="2"/>
          <w:szCs w:val="24"/>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ge">
                  <wp:posOffset>9258935</wp:posOffset>
                </wp:positionV>
                <wp:extent cx="6120130" cy="0"/>
                <wp:effectExtent l="0" t="0" r="0" b="0"/>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729.05pt;height:0pt;width:481.9pt;mso-position-vertical-relative:page;z-index:251665408;mso-width-relative:page;mso-height-relative:page;" filled="f" stroked="t" coordsize="21600,21600" o:gfxdata="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4PjatUA&#10;AAAKAQAADwAAAAAAAAABACAAAAAiAAAAZHJzL2Rvd25yZXYueG1sUEsBAhQAFAAAAAgAh07iQGh+&#10;hvfpAQAAugMAAA4AAAAAAAAAAQAgAAAAJAEAAGRycy9lMm9Eb2MueG1sUEsFBgAAAAAGAAYAWQEA&#10;AH8FAAAAAA==&#10;">
                <v:fill on="f" focussize="0,0"/>
                <v:stroke color="#000000" joinstyle="round"/>
                <v:imagedata o:title=""/>
                <o:lock v:ext="edit" aspectratio="f"/>
                <w10:anchorlock/>
              </v:line>
            </w:pict>
          </mc:Fallback>
        </mc:AlternateContent>
      </w:r>
      <w:bookmarkEnd w:id="0"/>
    </w:p>
    <w:p>
      <w:pPr>
        <w:jc w:val="center"/>
        <w:rPr>
          <w:rFonts w:ascii="黑体" w:hAnsi="黑体" w:eastAsia="黑体" w:cs="黑体"/>
          <w:sz w:val="32"/>
          <w:szCs w:val="32"/>
        </w:rPr>
      </w:pPr>
      <w:bookmarkStart w:id="4" w:name="_Toc28533725"/>
      <w:bookmarkStart w:id="5" w:name="_Toc19111"/>
      <w:bookmarkStart w:id="6" w:name="_Toc8457"/>
      <w:bookmarkStart w:id="7" w:name="_Toc5928"/>
      <w:bookmarkStart w:id="8" w:name="_Toc519540533"/>
      <w:bookmarkStart w:id="9" w:name="_Toc520052956"/>
      <w:bookmarkStart w:id="10" w:name="_Toc531637964"/>
      <w:bookmarkStart w:id="11" w:name="_Toc22451355"/>
      <w:bookmarkStart w:id="12" w:name="_Toc519540467"/>
      <w:bookmarkStart w:id="13" w:name="_Toc520052897"/>
      <w:bookmarkStart w:id="14" w:name="_Toc531637999"/>
      <w:bookmarkStart w:id="15" w:name="_Toc519233757"/>
      <w:r>
        <w:rPr>
          <w:rFonts w:hint="eastAsia" w:ascii="黑体" w:hAnsi="黑体" w:eastAsia="黑体" w:cs="黑体"/>
          <w:sz w:val="32"/>
          <w:szCs w:val="32"/>
        </w:rPr>
        <w:t>目</w:t>
      </w:r>
      <w:bookmarkStart w:id="16" w:name="BKML"/>
      <w:r>
        <w:rPr>
          <w:rFonts w:hint="eastAsia" w:ascii="黑体" w:hAnsi="黑体" w:eastAsia="黑体" w:cs="黑体"/>
          <w:sz w:val="32"/>
          <w:szCs w:val="32"/>
        </w:rPr>
        <w:t>  次</w:t>
      </w:r>
      <w:bookmarkEnd w:id="4"/>
      <w:bookmarkEnd w:id="5"/>
      <w:bookmarkEnd w:id="6"/>
      <w:bookmarkEnd w:id="7"/>
      <w:bookmarkEnd w:id="16"/>
      <w:r>
        <w:rPr>
          <w:rFonts w:hint="eastAsia" w:ascii="黑体" w:hAnsi="黑体" w:eastAsia="黑体" w:cs="黑体"/>
          <w:sz w:val="32"/>
          <w:szCs w:val="32"/>
        </w:rPr>
        <w:t xml:space="preserve">    </w:t>
      </w:r>
    </w:p>
    <w:p>
      <w:pPr>
        <w:ind w:left="0"/>
        <w:jc w:val="center"/>
      </w:pPr>
    </w:p>
    <w:sdt>
      <w:sdtPr>
        <w:rPr>
          <w:rFonts w:ascii="宋体" w:hAnsi="宋体"/>
        </w:rPr>
        <w:id w:val="147453800"/>
        <w:docPartObj>
          <w:docPartGallery w:val="Table of Contents"/>
          <w:docPartUnique/>
        </w:docPartObj>
      </w:sdtPr>
      <w:sdtEndPr>
        <w:rPr>
          <w:rFonts w:ascii="Times New Roman" w:hAnsi="Times New Roman"/>
        </w:rPr>
      </w:sdtEndPr>
      <w:sdtContent>
        <w:p>
          <w:pPr>
            <w:ind w:left="0"/>
            <w:jc w:val="center"/>
          </w:pPr>
        </w:p>
        <w:p>
          <w:pPr>
            <w:pStyle w:val="22"/>
            <w:spacing w:before="78" w:after="78"/>
            <w:rPr>
              <w:rFonts w:hint="eastAsia" w:ascii="宋体" w:hAnsi="宋体" w:eastAsia="宋体" w:cs="宋体"/>
              <w:szCs w:val="22"/>
            </w:rPr>
          </w:pPr>
          <w:r>
            <w:fldChar w:fldCharType="begin"/>
          </w:r>
          <w:r>
            <w:instrText xml:space="preserve">TOC \o "1-1" \h \u </w:instrText>
          </w:r>
          <w: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"_Toc111304445" </w:instrText>
          </w:r>
          <w:r>
            <w:rPr>
              <w:rFonts w:hint="eastAsia" w:ascii="宋体" w:hAnsi="宋体" w:eastAsia="宋体" w:cs="宋体"/>
            </w:rPr>
            <w:fldChar w:fldCharType="separate"/>
          </w:r>
          <w:r>
            <w:rPr>
              <w:rStyle w:val="43"/>
              <w:rFonts w:hint="eastAsia" w:ascii="宋体" w:hAnsi="宋体" w:eastAsia="宋体" w:cs="宋体"/>
            </w:rPr>
            <w:t>前  言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_Toc111304445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"_Toc111304446" </w:instrText>
          </w:r>
          <w:r>
            <w:fldChar w:fldCharType="separate"/>
          </w:r>
          <w:r>
            <w:rPr>
              <w:rStyle w:val="43"/>
            </w:rPr>
            <w:t>1</w:t>
          </w:r>
          <w:r>
            <w:rPr>
              <w:rFonts w:asciiTheme="minorHAnsi" w:hAnsiTheme="minorHAnsi" w:eastAsiaTheme="minorEastAsia" w:cstheme="minorBidi"/>
              <w:szCs w:val="22"/>
            </w:rPr>
            <w:tab/>
          </w:r>
          <w:r>
            <w:rPr>
              <w:rStyle w:val="43"/>
              <w:rFonts w:hint="eastAsia"/>
            </w:rPr>
            <w:t>范围</w:t>
          </w:r>
          <w:r>
            <w:tab/>
          </w:r>
          <w:r>
            <w:fldChar w:fldCharType="begin"/>
          </w:r>
          <w:r>
            <w:instrText xml:space="preserve"> PAGEREF _Toc111304446 \h </w:instrText>
          </w:r>
          <w:r>
            <w:fldChar w:fldCharType="separate"/>
          </w:r>
          <w:r>
            <w:t>1</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"_Toc111304447" </w:instrText>
          </w:r>
          <w:r>
            <w:fldChar w:fldCharType="separate"/>
          </w:r>
          <w:r>
            <w:rPr>
              <w:rStyle w:val="43"/>
            </w:rPr>
            <w:t>2</w:t>
          </w:r>
          <w:r>
            <w:rPr>
              <w:rFonts w:asciiTheme="minorHAnsi" w:hAnsiTheme="minorHAnsi" w:eastAsiaTheme="minorEastAsia" w:cstheme="minorBidi"/>
              <w:szCs w:val="22"/>
            </w:rPr>
            <w:tab/>
          </w:r>
          <w:r>
            <w:rPr>
              <w:rStyle w:val="43"/>
              <w:rFonts w:hint="eastAsia"/>
            </w:rPr>
            <w:t>规范性引用文件</w:t>
          </w:r>
          <w:r>
            <w:tab/>
          </w:r>
          <w:r>
            <w:fldChar w:fldCharType="begin"/>
          </w:r>
          <w:r>
            <w:instrText xml:space="preserve"> PAGEREF _Toc111304447 \h </w:instrText>
          </w:r>
          <w:r>
            <w:fldChar w:fldCharType="separate"/>
          </w:r>
          <w:r>
            <w:t>1</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"_Toc111304448" </w:instrText>
          </w:r>
          <w:r>
            <w:fldChar w:fldCharType="separate"/>
          </w:r>
          <w:r>
            <w:rPr>
              <w:rStyle w:val="43"/>
            </w:rPr>
            <w:t>3</w:t>
          </w:r>
          <w:r>
            <w:rPr>
              <w:rFonts w:asciiTheme="minorHAnsi" w:hAnsiTheme="minorHAnsi" w:eastAsiaTheme="minorEastAsia" w:cstheme="minorBidi"/>
              <w:szCs w:val="22"/>
            </w:rPr>
            <w:tab/>
          </w:r>
          <w:r>
            <w:rPr>
              <w:rStyle w:val="43"/>
              <w:rFonts w:hint="eastAsia"/>
            </w:rPr>
            <w:t>术语和定义</w:t>
          </w:r>
          <w:r>
            <w:tab/>
          </w:r>
          <w:r>
            <w:fldChar w:fldCharType="begin"/>
          </w:r>
          <w:r>
            <w:instrText xml:space="preserve"> PAGEREF _Toc111304448 \h </w:instrText>
          </w:r>
          <w:r>
            <w:fldChar w:fldCharType="separate"/>
          </w:r>
          <w:r>
            <w:t>1</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"_Toc111304449" </w:instrText>
          </w:r>
          <w:r>
            <w:fldChar w:fldCharType="separate"/>
          </w:r>
          <w:r>
            <w:rPr>
              <w:rStyle w:val="43"/>
            </w:rPr>
            <w:t>4</w:t>
          </w:r>
          <w:r>
            <w:rPr>
              <w:rFonts w:asciiTheme="minorHAnsi" w:hAnsiTheme="minorHAnsi" w:eastAsiaTheme="minorEastAsia" w:cstheme="minorBidi"/>
              <w:szCs w:val="22"/>
            </w:rPr>
            <w:tab/>
          </w:r>
          <w:r>
            <w:rPr>
              <w:rStyle w:val="43"/>
              <w:rFonts w:hint="eastAsia"/>
            </w:rPr>
            <w:t>激光电弧复合焊接工艺</w:t>
          </w:r>
          <w:r>
            <w:tab/>
          </w:r>
          <w:r>
            <w:fldChar w:fldCharType="begin"/>
          </w:r>
          <w:r>
            <w:instrText xml:space="preserve"> PAGEREF _Toc111304449 \h </w:instrText>
          </w:r>
          <w:r>
            <w:fldChar w:fldCharType="separate"/>
          </w:r>
          <w:r>
            <w:t>3</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"_Toc111304453" </w:instrText>
          </w:r>
          <w:r>
            <w:fldChar w:fldCharType="separate"/>
          </w:r>
          <w:r>
            <w:rPr>
              <w:rStyle w:val="43"/>
            </w:rPr>
            <w:t>5</w:t>
          </w:r>
          <w:r>
            <w:rPr>
              <w:rFonts w:asciiTheme="minorHAnsi" w:hAnsiTheme="minorHAnsi" w:eastAsiaTheme="minorEastAsia" w:cstheme="minorBidi"/>
              <w:szCs w:val="22"/>
            </w:rPr>
            <w:tab/>
          </w:r>
          <w:r>
            <w:rPr>
              <w:rStyle w:val="43"/>
              <w:rFonts w:hint="eastAsia"/>
            </w:rPr>
            <w:t>激光电弧复合焊接试验要求</w:t>
          </w:r>
          <w:r>
            <w:tab/>
          </w:r>
          <w:r>
            <w:fldChar w:fldCharType="begin"/>
          </w:r>
          <w:r>
            <w:instrText xml:space="preserve"> PAGEREF _Toc111304453 \h </w:instrText>
          </w:r>
          <w:r>
            <w:fldChar w:fldCharType="separate"/>
          </w:r>
          <w:r>
            <w:t>3</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"_Toc111304458" </w:instrText>
          </w:r>
          <w:r>
            <w:fldChar w:fldCharType="separate"/>
          </w:r>
          <w:r>
            <w:rPr>
              <w:rStyle w:val="43"/>
            </w:rPr>
            <w:t>6</w:t>
          </w:r>
          <w:r>
            <w:rPr>
              <w:rFonts w:asciiTheme="minorHAnsi" w:hAnsiTheme="minorHAnsi" w:eastAsiaTheme="minorEastAsia" w:cstheme="minorBidi"/>
              <w:szCs w:val="22"/>
            </w:rPr>
            <w:tab/>
          </w:r>
          <w:r>
            <w:rPr>
              <w:rStyle w:val="43"/>
              <w:rFonts w:hint="eastAsia"/>
            </w:rPr>
            <w:t>预焊接工艺规范</w:t>
          </w:r>
          <w:r>
            <w:rPr>
              <w:rStyle w:val="43"/>
            </w:rPr>
            <w:t>(pWPS)</w:t>
          </w:r>
          <w:r>
            <w:rPr>
              <w:rStyle w:val="43"/>
              <w:rFonts w:hint="eastAsia"/>
            </w:rPr>
            <w:t>和焊接工艺规程</w:t>
          </w:r>
          <w:r>
            <w:rPr>
              <w:rStyle w:val="43"/>
            </w:rPr>
            <w:t>(WPS)</w:t>
          </w:r>
          <w:r>
            <w:tab/>
          </w:r>
          <w:r>
            <w:fldChar w:fldCharType="begin"/>
          </w:r>
          <w:r>
            <w:instrText xml:space="preserve"> PAGEREF _Toc111304458 \h </w:instrText>
          </w:r>
          <w:r>
            <w:fldChar w:fldCharType="separate"/>
          </w:r>
          <w:r>
            <w:t>4</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"_Toc111304473" </w:instrText>
          </w:r>
          <w:r>
            <w:fldChar w:fldCharType="separate"/>
          </w:r>
          <w:r>
            <w:rPr>
              <w:rStyle w:val="43"/>
            </w:rPr>
            <w:t>7</w:t>
          </w:r>
          <w:r>
            <w:rPr>
              <w:rFonts w:asciiTheme="minorHAnsi" w:hAnsiTheme="minorHAnsi" w:eastAsiaTheme="minorEastAsia" w:cstheme="minorBidi"/>
              <w:szCs w:val="22"/>
            </w:rPr>
            <w:tab/>
          </w:r>
          <w:r>
            <w:rPr>
              <w:rStyle w:val="43"/>
              <w:rFonts w:hint="eastAsia"/>
            </w:rPr>
            <w:t>焊接工艺试验</w:t>
          </w:r>
          <w:r>
            <w:tab/>
          </w:r>
          <w:r>
            <w:fldChar w:fldCharType="begin"/>
          </w:r>
          <w:r>
            <w:instrText xml:space="preserve"> PAGEREF _Toc111304473 \h </w:instrText>
          </w:r>
          <w:r>
            <w:fldChar w:fldCharType="separate"/>
          </w:r>
          <w:r>
            <w:t>8</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"_Toc111304482" </w:instrText>
          </w:r>
          <w:r>
            <w:fldChar w:fldCharType="separate"/>
          </w:r>
          <w:r>
            <w:rPr>
              <w:rStyle w:val="43"/>
            </w:rPr>
            <w:t>8</w:t>
          </w:r>
          <w:r>
            <w:rPr>
              <w:rFonts w:asciiTheme="minorHAnsi" w:hAnsiTheme="minorHAnsi" w:eastAsiaTheme="minorEastAsia" w:cstheme="minorBidi"/>
              <w:szCs w:val="22"/>
            </w:rPr>
            <w:tab/>
          </w:r>
          <w:r>
            <w:rPr>
              <w:rStyle w:val="43"/>
              <w:rFonts w:hint="eastAsia"/>
            </w:rPr>
            <w:t>激光电弧复合焊接设备监控</w:t>
          </w:r>
          <w:r>
            <w:tab/>
          </w:r>
          <w:r>
            <w:fldChar w:fldCharType="begin"/>
          </w:r>
          <w:r>
            <w:instrText xml:space="preserve"> PAGEREF _Toc111304482 \h </w:instrText>
          </w:r>
          <w:r>
            <w:fldChar w:fldCharType="separate"/>
          </w:r>
          <w:r>
            <w:t>11</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"_Toc111304487" </w:instrText>
          </w:r>
          <w:r>
            <w:fldChar w:fldCharType="separate"/>
          </w:r>
          <w:r>
            <w:rPr>
              <w:rStyle w:val="43"/>
            </w:rPr>
            <w:t>9</w:t>
          </w:r>
          <w:r>
            <w:rPr>
              <w:rFonts w:asciiTheme="minorHAnsi" w:hAnsiTheme="minorHAnsi" w:eastAsiaTheme="minorEastAsia" w:cstheme="minorBidi"/>
              <w:szCs w:val="22"/>
            </w:rPr>
            <w:tab/>
          </w:r>
          <w:r>
            <w:rPr>
              <w:rStyle w:val="43"/>
              <w:rFonts w:hint="eastAsia"/>
            </w:rPr>
            <w:t>生产质量控制</w:t>
          </w:r>
          <w:r>
            <w:tab/>
          </w:r>
          <w:r>
            <w:fldChar w:fldCharType="begin"/>
          </w:r>
          <w:r>
            <w:instrText xml:space="preserve"> PAGEREF _Toc111304487 \h </w:instrText>
          </w:r>
          <w:r>
            <w:fldChar w:fldCharType="separate"/>
          </w:r>
          <w:r>
            <w:t>12</w:t>
          </w:r>
          <w:r>
            <w:fldChar w:fldCharType="end"/>
          </w:r>
          <w:r>
            <w:fldChar w:fldCharType="end"/>
          </w:r>
        </w:p>
        <w:p>
          <w:pPr>
            <w:pStyle w:val="22"/>
            <w:tabs>
              <w:tab w:val="left" w:pos="1470"/>
            </w:tabs>
            <w:spacing w:before="78" w:after="78"/>
            <w:rPr>
              <w:rFonts w:asciiTheme="minorHAnsi" w:hAnsiTheme="minorHAnsi" w:eastAsiaTheme="minorEastAsia" w:cstheme="minorBidi"/>
              <w:szCs w:val="22"/>
            </w:rPr>
          </w:pPr>
          <w:r>
            <w:fldChar w:fldCharType="begin"/>
          </w:r>
          <w:r>
            <w:instrText xml:space="preserve"> HYPERLINK \l "_Toc111304490" </w:instrText>
          </w:r>
          <w:r>
            <w:fldChar w:fldCharType="separate"/>
          </w:r>
          <w:r>
            <w:rPr>
              <w:rStyle w:val="43"/>
            </w:rPr>
            <w:t>10</w:t>
          </w:r>
          <w:r>
            <w:rPr>
              <w:rFonts w:asciiTheme="minorHAnsi" w:hAnsiTheme="minorHAnsi" w:eastAsiaTheme="minorEastAsia" w:cstheme="minorBidi"/>
              <w:szCs w:val="22"/>
            </w:rPr>
            <w:tab/>
          </w:r>
          <w:r>
            <w:rPr>
              <w:rStyle w:val="43"/>
              <w:rFonts w:hint="eastAsia"/>
            </w:rPr>
            <w:t>防止激光辐射的危害</w:t>
          </w:r>
          <w:r>
            <w:tab/>
          </w:r>
          <w:r>
            <w:fldChar w:fldCharType="begin"/>
          </w:r>
          <w:r>
            <w:instrText xml:space="preserve"> PAGEREF _Toc111304490 \h </w:instrText>
          </w:r>
          <w:r>
            <w:fldChar w:fldCharType="separate"/>
          </w:r>
          <w:r>
            <w:t>12</w:t>
          </w:r>
          <w:r>
            <w:fldChar w:fldCharType="end"/>
          </w:r>
          <w:r>
            <w:fldChar w:fldCharType="end"/>
          </w:r>
        </w:p>
        <w:p>
          <w:r>
            <w:fldChar w:fldCharType="end"/>
          </w:r>
        </w:p>
      </w:sdtContent>
    </w:sdt>
    <w:p>
      <w:pPr>
        <w:pStyle w:val="22"/>
        <w:spacing w:before="78" w:after="78"/>
      </w:pPr>
      <w:r>
        <w:br w:type="page"/>
      </w:r>
      <w:r>
        <w:fldChar w:fldCharType="begin" w:fldLock="1"/>
      </w:r>
      <w:r>
        <w:instrText xml:space="preserve"> TOC \h \z \t"前言、引言标题,1,参考文献、索引标题,1,章标题,1,参考文献,1,附录标识,1" \* MERGEFORMAT </w:instrText>
      </w:r>
      <w:r>
        <w:fldChar w:fldCharType="end"/>
      </w:r>
    </w:p>
    <w:p>
      <w:pPr>
        <w:jc w:val="center"/>
      </w:pPr>
      <w:bookmarkStart w:id="17" w:name="_Toc22451396"/>
      <w:bookmarkStart w:id="18" w:name="_Toc9155"/>
    </w:p>
    <w:p>
      <w:pPr>
        <w:jc w:val="center"/>
        <w:outlineLvl w:val="0"/>
        <w:rPr>
          <w:rFonts w:ascii="黑体" w:eastAsia="黑体"/>
          <w:color w:val="000000"/>
          <w:sz w:val="32"/>
          <w:szCs w:val="22"/>
        </w:rPr>
      </w:pPr>
      <w:bookmarkStart w:id="19" w:name="_Toc111304445"/>
      <w:bookmarkStart w:id="20" w:name="_Toc28069"/>
      <w:r>
        <w:rPr>
          <w:rFonts w:hint="eastAsia" w:ascii="黑体" w:eastAsia="黑体"/>
          <w:color w:val="000000"/>
          <w:sz w:val="32"/>
          <w:szCs w:val="22"/>
        </w:rPr>
        <w:t>前</w:t>
      </w:r>
      <w:bookmarkStart w:id="21" w:name="BKQY"/>
      <w:r>
        <w:rPr>
          <w:rFonts w:hint="eastAsia" w:ascii="黑体" w:eastAsia="黑体"/>
          <w:color w:val="000000"/>
          <w:sz w:val="32"/>
          <w:szCs w:val="22"/>
        </w:rPr>
        <w:t>  言</w:t>
      </w:r>
      <w:bookmarkEnd w:id="8"/>
      <w:bookmarkEnd w:id="9"/>
      <w:bookmarkEnd w:id="10"/>
      <w:bookmarkEnd w:id="11"/>
      <w:bookmarkEnd w:id="12"/>
      <w:bookmarkEnd w:id="13"/>
      <w:bookmarkEnd w:id="14"/>
      <w:bookmarkEnd w:id="17"/>
      <w:bookmarkEnd w:id="18"/>
      <w:bookmarkEnd w:id="19"/>
      <w:bookmarkEnd w:id="20"/>
      <w:bookmarkEnd w:id="21"/>
    </w:p>
    <w:p>
      <w:pPr>
        <w:pStyle w:val="26"/>
        <w:spacing w:line="360" w:lineRule="auto"/>
        <w:ind w:left="0"/>
        <w:rPr>
          <w:rFonts w:ascii="Times New Roman"/>
          <w:color w:val="000000"/>
          <w:szCs w:val="22"/>
        </w:rPr>
      </w:pPr>
      <w:r>
        <w:rPr>
          <w:rFonts w:ascii="Times New Roman"/>
          <w:color w:val="000000"/>
          <w:szCs w:val="22"/>
        </w:rPr>
        <w:t>本</w:t>
      </w:r>
      <w:r>
        <w:rPr>
          <w:rFonts w:hint="eastAsia" w:ascii="Times New Roman"/>
          <w:color w:val="000000"/>
          <w:szCs w:val="22"/>
        </w:rPr>
        <w:t>文件</w:t>
      </w:r>
      <w:r>
        <w:rPr>
          <w:rFonts w:ascii="Times New Roman"/>
          <w:color w:val="000000"/>
          <w:szCs w:val="22"/>
        </w:rPr>
        <w:t>按照</w:t>
      </w:r>
      <w:r>
        <w:rPr>
          <w:rFonts w:hint="eastAsia" w:ascii="Times New Roman"/>
          <w:color w:val="000000"/>
          <w:szCs w:val="22"/>
        </w:rPr>
        <w:t>GB/T 1.1-2020《标准化工作导则 第1部分：标准化文件的结构和起草规则》</w:t>
      </w:r>
      <w:r>
        <w:rPr>
          <w:rFonts w:ascii="Times New Roman"/>
          <w:color w:val="000000"/>
          <w:szCs w:val="22"/>
        </w:rPr>
        <w:t>的规</w:t>
      </w:r>
      <w:r>
        <w:rPr>
          <w:rFonts w:hint="eastAsia" w:ascii="Times New Roman"/>
          <w:color w:val="000000"/>
          <w:szCs w:val="22"/>
        </w:rPr>
        <w:t>定</w:t>
      </w:r>
      <w:r>
        <w:rPr>
          <w:rFonts w:ascii="Times New Roman"/>
          <w:color w:val="000000"/>
          <w:szCs w:val="22"/>
        </w:rPr>
        <w:t>起草。</w:t>
      </w:r>
    </w:p>
    <w:p>
      <w:pPr>
        <w:pStyle w:val="26"/>
        <w:spacing w:line="360" w:lineRule="auto"/>
        <w:ind w:left="0"/>
        <w:rPr>
          <w:rFonts w:ascii="Times New Roman"/>
          <w:color w:val="000000"/>
          <w:szCs w:val="22"/>
        </w:rPr>
      </w:pPr>
      <w:r>
        <w:rPr>
          <w:rFonts w:hint="eastAsia" w:ascii="Times New Roman"/>
          <w:color w:val="000000"/>
          <w:szCs w:val="22"/>
        </w:rPr>
        <w:t>注意本文件的某些内容可能涉及专利。本文件的发布机构不承担识别这些专利的责任。</w:t>
      </w:r>
    </w:p>
    <w:p>
      <w:pPr>
        <w:pStyle w:val="26"/>
        <w:spacing w:line="360" w:lineRule="auto"/>
        <w:ind w:left="0"/>
        <w:rPr>
          <w:rFonts w:ascii="Times New Roman"/>
          <w:color w:val="000000"/>
          <w:szCs w:val="22"/>
        </w:rPr>
      </w:pPr>
      <w:bookmarkStart w:id="22" w:name="_Hlk22125520"/>
      <w:r>
        <w:rPr>
          <w:rFonts w:hint="eastAsia" w:ascii="Times New Roman"/>
          <w:color w:val="000000"/>
          <w:szCs w:val="22"/>
        </w:rPr>
        <w:t>本文件由中国金属学会标准化工作委员会提出并归口。</w:t>
      </w:r>
      <w:bookmarkEnd w:id="22"/>
    </w:p>
    <w:p>
      <w:pPr>
        <w:pStyle w:val="26"/>
        <w:spacing w:line="360" w:lineRule="auto"/>
        <w:ind w:left="0"/>
        <w:rPr>
          <w:rFonts w:ascii="Times New Roman"/>
          <w:color w:val="000000"/>
          <w:szCs w:val="22"/>
        </w:rPr>
      </w:pPr>
      <w:r>
        <w:rPr>
          <w:rFonts w:ascii="Times New Roman"/>
          <w:color w:val="000000"/>
          <w:szCs w:val="22"/>
        </w:rPr>
        <w:t>本</w:t>
      </w:r>
      <w:r>
        <w:rPr>
          <w:rFonts w:hint="eastAsia" w:ascii="Times New Roman"/>
          <w:color w:val="000000"/>
          <w:szCs w:val="22"/>
        </w:rPr>
        <w:t>文件</w:t>
      </w:r>
      <w:r>
        <w:rPr>
          <w:rFonts w:ascii="Times New Roman"/>
          <w:color w:val="000000"/>
          <w:szCs w:val="22"/>
        </w:rPr>
        <w:t>起草单位：</w:t>
      </w:r>
      <w:r>
        <w:rPr>
          <w:rFonts w:hint="eastAsia" w:ascii="Times New Roman"/>
          <w:color w:val="000000"/>
          <w:szCs w:val="22"/>
        </w:rPr>
        <w:t>中集海洋工程研究院有限公司、北京科技大学、济南大学、山东钢铁集团日照钢铁有限公司</w:t>
      </w:r>
    </w:p>
    <w:p>
      <w:pPr>
        <w:pStyle w:val="26"/>
        <w:spacing w:line="360" w:lineRule="auto"/>
        <w:ind w:left="0"/>
        <w:rPr>
          <w:rFonts w:ascii="Times New Roman"/>
          <w:color w:val="000000"/>
          <w:szCs w:val="22"/>
        </w:rPr>
      </w:pPr>
      <w:r>
        <w:rPr>
          <w:rFonts w:ascii="Times New Roman"/>
          <w:color w:val="000000"/>
          <w:szCs w:val="22"/>
        </w:rPr>
        <w:t>本</w:t>
      </w:r>
      <w:r>
        <w:rPr>
          <w:rFonts w:hint="eastAsia" w:ascii="Times New Roman"/>
          <w:color w:val="000000"/>
          <w:szCs w:val="22"/>
        </w:rPr>
        <w:t>文件</w:t>
      </w:r>
      <w:r>
        <w:rPr>
          <w:rFonts w:ascii="Times New Roman"/>
          <w:color w:val="000000"/>
          <w:szCs w:val="22"/>
        </w:rPr>
        <w:t>主要起草人：</w:t>
      </w:r>
      <w:bookmarkEnd w:id="15"/>
      <w:r>
        <w:rPr>
          <w:rFonts w:hint="eastAsia" w:ascii="Times New Roman"/>
          <w:color w:val="000000"/>
          <w:szCs w:val="22"/>
        </w:rPr>
        <w:t>王寿军 王琪晨 滕瑶 刘金程 张涛 尚成嘉 李秀程 夏佃秀 孙卫华 李国宝</w:t>
      </w:r>
    </w:p>
    <w:p>
      <w:pPr>
        <w:pStyle w:val="26"/>
        <w:spacing w:line="360" w:lineRule="auto"/>
        <w:rPr>
          <w:rFonts w:ascii="Times New Roman"/>
        </w:rPr>
      </w:pPr>
    </w:p>
    <w:p>
      <w:pPr>
        <w:pStyle w:val="26"/>
        <w:spacing w:line="360" w:lineRule="auto"/>
        <w:rPr>
          <w:rFonts w:ascii="Times New Roman"/>
        </w:rPr>
        <w:sectPr>
          <w:headerReference r:id="rId5" w:type="default"/>
          <w:footerReference r:id="rId6" w:type="default"/>
          <w:pgSz w:w="11906" w:h="16838"/>
          <w:pgMar w:top="1418" w:right="1134" w:bottom="1134" w:left="1418" w:header="1418" w:footer="1134" w:gutter="0"/>
          <w:pgNumType w:fmt="upperRoman" w:start="1"/>
          <w:cols w:space="720" w:num="1"/>
          <w:formProt w:val="0"/>
          <w:docGrid w:type="lines" w:linePitch="312" w:charSpace="0"/>
        </w:sectPr>
      </w:pPr>
    </w:p>
    <w:p>
      <w:pPr>
        <w:ind w:left="0"/>
        <w:jc w:val="center"/>
        <w:rPr>
          <w:rFonts w:ascii="黑体" w:hAnsi="黑体" w:eastAsia="黑体" w:cs="黑体"/>
          <w:sz w:val="32"/>
          <w:szCs w:val="32"/>
        </w:rPr>
      </w:pPr>
      <w:r>
        <w:rPr>
          <w:rFonts w:hint="eastAsia" w:ascii="黑体" w:hAnsi="黑体" w:eastAsia="黑体" w:cs="黑体"/>
          <w:sz w:val="32"/>
          <w:szCs w:val="32"/>
        </w:rPr>
        <w:t>船体结构用钢激光电弧复合焊接工艺规范</w:t>
      </w:r>
    </w:p>
    <w:p>
      <w:pPr>
        <w:pStyle w:val="75"/>
        <w:numPr>
          <w:ilvl w:val="0"/>
          <w:numId w:val="19"/>
        </w:numPr>
        <w:spacing w:before="312" w:after="312"/>
        <w:outlineLvl w:val="0"/>
      </w:pPr>
      <w:bookmarkStart w:id="23" w:name="_Toc22451398"/>
      <w:bookmarkStart w:id="24" w:name="_Toc11487"/>
      <w:bookmarkStart w:id="25" w:name="_Toc520052958"/>
      <w:bookmarkStart w:id="26" w:name="_Toc520052899"/>
      <w:bookmarkStart w:id="27" w:name="_Toc519540469"/>
      <w:bookmarkStart w:id="28" w:name="_Toc111304446"/>
      <w:bookmarkStart w:id="29" w:name="_Toc22451357"/>
      <w:bookmarkStart w:id="30" w:name="_Toc531638001"/>
      <w:bookmarkStart w:id="31" w:name="_Toc519233758"/>
      <w:bookmarkStart w:id="32" w:name="_Toc10082"/>
      <w:bookmarkStart w:id="33" w:name="_Toc531637966"/>
      <w:bookmarkStart w:id="34" w:name="_Toc27801"/>
      <w:bookmarkStart w:id="35" w:name="_Toc519540535"/>
      <w:r>
        <w:t>范围</w:t>
      </w:r>
      <w:bookmarkEnd w:id="23"/>
      <w:bookmarkEnd w:id="24"/>
      <w:bookmarkEnd w:id="25"/>
      <w:bookmarkEnd w:id="26"/>
      <w:bookmarkEnd w:id="27"/>
      <w:bookmarkEnd w:id="28"/>
      <w:bookmarkEnd w:id="29"/>
      <w:bookmarkEnd w:id="30"/>
      <w:bookmarkEnd w:id="31"/>
      <w:bookmarkEnd w:id="32"/>
      <w:bookmarkEnd w:id="33"/>
      <w:bookmarkEnd w:id="34"/>
      <w:bookmarkEnd w:id="35"/>
    </w:p>
    <w:p>
      <w:pPr>
        <w:pStyle w:val="75"/>
        <w:numPr>
          <w:ilvl w:val="0"/>
          <w:numId w:val="0"/>
        </w:numPr>
        <w:tabs>
          <w:tab w:val="left" w:pos="420"/>
        </w:tabs>
        <w:spacing w:before="312" w:after="312" w:line="360" w:lineRule="auto"/>
        <w:ind w:firstLine="420" w:firstLineChars="200"/>
        <w:outlineLvl w:val="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文件规定了船体结构用钢激光电弧复合焊接工艺规范的激光电弧复合焊接工艺、激光电弧复合焊接试验要求、预焊接工艺规范(pWPS)和焊接工艺规程(WPS)、焊接工艺试验、激光电弧复合焊接设备监控、生产质量控制</w:t>
      </w:r>
      <w:r>
        <w:rPr>
          <w:rFonts w:asciiTheme="minorEastAsia" w:hAnsiTheme="minorEastAsia" w:eastAsiaTheme="minorEastAsia"/>
          <w:color w:val="000000" w:themeColor="text1"/>
          <w14:textFill>
            <w14:solidFill>
              <w14:schemeClr w14:val="tx1"/>
            </w14:solidFill>
          </w14:textFill>
        </w:rPr>
        <w:t>和</w:t>
      </w:r>
      <w:r>
        <w:rPr>
          <w:rFonts w:hint="eastAsia" w:asciiTheme="minorEastAsia" w:hAnsiTheme="minorEastAsia" w:eastAsiaTheme="minorEastAsia"/>
          <w:color w:val="000000" w:themeColor="text1"/>
          <w14:textFill>
            <w14:solidFill>
              <w14:schemeClr w14:val="tx1"/>
            </w14:solidFill>
          </w14:textFill>
        </w:rPr>
        <w:t>防止激光辐射的危害。</w:t>
      </w:r>
    </w:p>
    <w:p>
      <w:pPr>
        <w:spacing w:line="360" w:lineRule="auto"/>
        <w:ind w:left="0"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本文件适用于船舶制造和海洋结构施工中EH36及以下级别的高强度和普通强度热轧钢板用激光电弧复合焊接工艺的基本要求和应用范围。</w:t>
      </w:r>
    </w:p>
    <w:p>
      <w:pPr>
        <w:pStyle w:val="75"/>
        <w:numPr>
          <w:ilvl w:val="0"/>
          <w:numId w:val="19"/>
        </w:numPr>
        <w:spacing w:before="312" w:after="312"/>
        <w:outlineLvl w:val="0"/>
      </w:pPr>
      <w:bookmarkStart w:id="36" w:name="_Toc531638002"/>
      <w:bookmarkStart w:id="37" w:name="_Toc22451358"/>
      <w:bookmarkStart w:id="38" w:name="_Toc520052900"/>
      <w:bookmarkStart w:id="39" w:name="_Toc519540536"/>
      <w:bookmarkStart w:id="40" w:name="_Toc519233759"/>
      <w:bookmarkStart w:id="41" w:name="_Toc18708"/>
      <w:bookmarkStart w:id="42" w:name="_Toc111304447"/>
      <w:bookmarkStart w:id="43" w:name="_Toc5447"/>
      <w:bookmarkStart w:id="44" w:name="_Toc531637967"/>
      <w:bookmarkStart w:id="45" w:name="_Toc9681"/>
      <w:bookmarkStart w:id="46" w:name="_Toc519540470"/>
      <w:bookmarkStart w:id="47" w:name="_Toc520052959"/>
      <w:bookmarkStart w:id="48" w:name="_Toc22451399"/>
      <w:r>
        <w:t>规范性引用文件</w:t>
      </w:r>
      <w:bookmarkEnd w:id="36"/>
      <w:bookmarkEnd w:id="37"/>
      <w:bookmarkEnd w:id="38"/>
      <w:bookmarkEnd w:id="39"/>
      <w:bookmarkEnd w:id="40"/>
      <w:bookmarkEnd w:id="41"/>
      <w:bookmarkEnd w:id="42"/>
      <w:bookmarkEnd w:id="43"/>
      <w:bookmarkEnd w:id="44"/>
      <w:bookmarkEnd w:id="45"/>
      <w:bookmarkEnd w:id="46"/>
      <w:bookmarkEnd w:id="47"/>
      <w:bookmarkEnd w:id="48"/>
    </w:p>
    <w:p>
      <w:pPr>
        <w:pStyle w:val="26"/>
        <w:spacing w:line="360" w:lineRule="auto"/>
        <w:ind w:left="0"/>
        <w:rPr>
          <w:rFonts w:hAnsi="宋体"/>
        </w:rPr>
      </w:pPr>
      <w:r>
        <w:rPr>
          <w:rFonts w:hint="eastAsia" w:hAnsi="宋体"/>
        </w:rPr>
        <w:t>下列文件中的内容通过文中的规范性引用而构成本文件必不可少的条款。其中，注日期的引用文件，仅该日期对应版本的适用于本文件；不注日期的引用文件，其最新版本（包括所有的修改单）适用于本文件。</w:t>
      </w:r>
    </w:p>
    <w:p>
      <w:pPr>
        <w:pStyle w:val="26"/>
        <w:spacing w:line="360" w:lineRule="auto"/>
        <w:ind w:left="0"/>
        <w:rPr>
          <w:rFonts w:hAnsi="宋体"/>
        </w:rPr>
      </w:pPr>
    </w:p>
    <w:p>
      <w:pPr>
        <w:pStyle w:val="26"/>
        <w:spacing w:line="360" w:lineRule="auto"/>
        <w:ind w:left="0" w:firstLine="0" w:firstLineChars="0"/>
        <w:rPr>
          <w:rFonts w:hAnsi="宋体"/>
        </w:rPr>
      </w:pPr>
      <w:r>
        <w:rPr>
          <w:rFonts w:hint="eastAsia" w:hAnsi="宋体"/>
        </w:rPr>
        <w:t>ISO 4063-2009</w:t>
      </w:r>
      <w:r>
        <w:rPr>
          <w:rFonts w:hAnsi="宋体"/>
        </w:rPr>
        <w:t xml:space="preserve"> </w:t>
      </w:r>
      <w:r>
        <w:rPr>
          <w:rFonts w:hint="eastAsia" w:hAnsi="宋体"/>
        </w:rPr>
        <w:t>焊接和联合工艺方法-工艺方法术语和引用编号方法</w:t>
      </w:r>
    </w:p>
    <w:p>
      <w:pPr>
        <w:pStyle w:val="26"/>
        <w:spacing w:line="360" w:lineRule="auto"/>
        <w:ind w:left="0" w:firstLine="0" w:firstLineChars="0"/>
      </w:pPr>
      <w:r>
        <w:rPr>
          <w:rFonts w:hint="eastAsia"/>
        </w:rPr>
        <w:t>ISO 6947-2019</w:t>
      </w:r>
      <w:r>
        <w:t xml:space="preserve"> </w:t>
      </w:r>
      <w:r>
        <w:rPr>
          <w:rFonts w:hint="eastAsia"/>
        </w:rPr>
        <w:t>焊接及相关工艺-焊接位置</w:t>
      </w:r>
    </w:p>
    <w:p>
      <w:pPr>
        <w:pStyle w:val="26"/>
        <w:spacing w:line="360" w:lineRule="auto"/>
        <w:ind w:left="0" w:firstLine="0" w:firstLineChars="0"/>
      </w:pPr>
      <w:r>
        <w:rPr>
          <w:rFonts w:hint="eastAsia"/>
        </w:rPr>
        <w:t>ISO 12932-2013 C级 焊接.钢、镍及镍合金的激光电弧复合焊.缺陷质量分级</w:t>
      </w:r>
    </w:p>
    <w:p>
      <w:pPr>
        <w:pStyle w:val="26"/>
        <w:spacing w:line="360" w:lineRule="auto"/>
        <w:ind w:left="0" w:firstLine="0" w:firstLineChars="0"/>
        <w:rPr>
          <w:rFonts w:hAnsi="宋体"/>
          <w:szCs w:val="22"/>
        </w:rPr>
      </w:pPr>
      <w:r>
        <w:rPr>
          <w:rFonts w:hint="eastAsia"/>
        </w:rPr>
        <w:t>ISO 15609-6:2019 金属材料焊接工艺规程及评定-焊接工艺规程 第6部分 激光电弧复合焊接</w:t>
      </w:r>
    </w:p>
    <w:p>
      <w:pPr>
        <w:pStyle w:val="26"/>
        <w:spacing w:line="360" w:lineRule="auto"/>
        <w:ind w:left="0" w:firstLine="0" w:firstLineChars="0"/>
        <w:rPr>
          <w:rFonts w:hAnsi="宋体"/>
          <w:szCs w:val="22"/>
        </w:rPr>
      </w:pPr>
      <w:r>
        <w:rPr>
          <w:rFonts w:hAnsi="宋体"/>
          <w:szCs w:val="22"/>
        </w:rPr>
        <w:t>ISO 15614-</w:t>
      </w:r>
      <w:r>
        <w:rPr>
          <w:rFonts w:hint="eastAsia" w:hAnsi="宋体"/>
          <w:szCs w:val="22"/>
        </w:rPr>
        <w:t>1:2003 金属材料焊接工艺规程及评定-焊接工艺试验 第1部分 钢的弧焊和气焊和镍及镍合金的弧焊</w:t>
      </w:r>
    </w:p>
    <w:p>
      <w:pPr>
        <w:pStyle w:val="26"/>
        <w:spacing w:line="360" w:lineRule="auto"/>
        <w:ind w:left="0" w:firstLine="0" w:firstLineChars="0"/>
        <w:rPr>
          <w:rFonts w:hAnsi="宋体"/>
          <w:color w:val="FF0000"/>
          <w:szCs w:val="22"/>
        </w:rPr>
      </w:pPr>
      <w:r>
        <w:rPr>
          <w:rFonts w:hAnsi="宋体"/>
          <w:szCs w:val="22"/>
        </w:rPr>
        <w:t>ISO 15614-</w:t>
      </w:r>
      <w:r>
        <w:rPr>
          <w:rFonts w:hint="eastAsia"/>
        </w:rPr>
        <w:t>3:2003</w:t>
      </w:r>
      <w:r>
        <w:t xml:space="preserve"> </w:t>
      </w:r>
      <w:r>
        <w:rPr>
          <w:rFonts w:hint="eastAsia" w:hAnsi="宋体"/>
          <w:szCs w:val="22"/>
        </w:rPr>
        <w:t>金属材料焊接工艺规程及评定-焊接工艺试验</w:t>
      </w:r>
      <w:r>
        <w:rPr>
          <w:rFonts w:hAnsi="宋体"/>
        </w:rPr>
        <w:t xml:space="preserve"> </w:t>
      </w:r>
      <w:r>
        <w:rPr>
          <w:rFonts w:hint="eastAsia" w:hAnsi="宋体"/>
        </w:rPr>
        <w:t>第3部分</w:t>
      </w:r>
      <w:r>
        <w:t xml:space="preserve">  </w:t>
      </w:r>
      <w:r>
        <w:rPr>
          <w:rFonts w:hint="eastAsia"/>
        </w:rPr>
        <w:t>铸铁的弧焊</w:t>
      </w:r>
    </w:p>
    <w:p>
      <w:pPr>
        <w:pStyle w:val="26"/>
        <w:spacing w:line="360" w:lineRule="auto"/>
        <w:ind w:left="0" w:firstLine="0" w:firstLineChars="0"/>
        <w:rPr>
          <w:rFonts w:hAnsi="宋体"/>
          <w:spacing w:val="-20"/>
          <w:szCs w:val="22"/>
        </w:rPr>
      </w:pPr>
      <w:r>
        <w:rPr>
          <w:rFonts w:hint="eastAsia" w:hAnsi="宋体"/>
          <w:szCs w:val="22"/>
        </w:rPr>
        <w:t>ISO 15614-14:2013 金属材料焊接工艺规范和评定-焊接工艺评定试验 第14部分 钢、镍及镍合金的激光电弧复合焊接</w:t>
      </w:r>
    </w:p>
    <w:p>
      <w:pPr>
        <w:pStyle w:val="26"/>
        <w:spacing w:line="360" w:lineRule="auto"/>
        <w:ind w:left="0" w:firstLine="0" w:firstLineChars="0"/>
      </w:pPr>
      <w:r>
        <w:rPr>
          <w:rFonts w:hint="eastAsia"/>
        </w:rPr>
        <w:t>EN 207(6):2017 个人护目镜.防激光辐射滤光镜和护目镜(激光护目镜)</w:t>
      </w:r>
    </w:p>
    <w:p>
      <w:pPr>
        <w:pStyle w:val="26"/>
        <w:spacing w:line="360" w:lineRule="auto"/>
        <w:ind w:left="0" w:firstLine="0" w:firstLineChars="0"/>
      </w:pPr>
      <w:r>
        <w:rPr>
          <w:rFonts w:hint="eastAsia"/>
        </w:rPr>
        <w:t>EN 208(7):2009 用于激光和激光系统调整工作的护目镜（激光调节护目镜）</w:t>
      </w:r>
    </w:p>
    <w:p>
      <w:pPr>
        <w:pStyle w:val="26"/>
        <w:spacing w:line="360" w:lineRule="auto"/>
        <w:ind w:left="0" w:firstLine="0" w:firstLineChars="0"/>
      </w:pPr>
      <w:r>
        <w:rPr>
          <w:rFonts w:hint="eastAsia"/>
        </w:rPr>
        <w:t>EN 60825-1:2014  激光器欧盟CE认证标准</w:t>
      </w:r>
      <w:r>
        <w:tab/>
      </w:r>
    </w:p>
    <w:p>
      <w:pPr>
        <w:pStyle w:val="75"/>
        <w:numPr>
          <w:ilvl w:val="0"/>
          <w:numId w:val="19"/>
        </w:numPr>
        <w:spacing w:before="312" w:after="312"/>
        <w:outlineLvl w:val="0"/>
      </w:pPr>
      <w:bookmarkStart w:id="49" w:name="_Toc519233760"/>
      <w:bookmarkEnd w:id="49"/>
      <w:bookmarkStart w:id="50" w:name="_Toc111304448"/>
      <w:bookmarkStart w:id="51" w:name="_Toc31268"/>
      <w:bookmarkStart w:id="52" w:name="_Toc5739"/>
      <w:bookmarkStart w:id="53" w:name="_Toc17869"/>
      <w:r>
        <w:rPr>
          <w:rFonts w:hint="eastAsia"/>
        </w:rPr>
        <w:t>术语和定义</w:t>
      </w:r>
      <w:bookmarkEnd w:id="50"/>
      <w:bookmarkEnd w:id="51"/>
      <w:bookmarkEnd w:id="52"/>
      <w:bookmarkEnd w:id="53"/>
    </w:p>
    <w:p>
      <w:pPr>
        <w:pStyle w:val="26"/>
        <w:spacing w:line="360" w:lineRule="auto"/>
        <w:ind w:left="0"/>
      </w:pPr>
      <w:r>
        <w:rPr>
          <w:rFonts w:hint="eastAsia" w:ascii="Times New Roman"/>
        </w:rPr>
        <w:t>下列术语和定义适用于本文件</w:t>
      </w:r>
    </w:p>
    <w:p>
      <w:pPr>
        <w:pStyle w:val="53"/>
        <w:spacing w:before="156" w:after="156"/>
      </w:pPr>
      <w:bookmarkStart w:id="54" w:name="_Toc18648"/>
      <w:bookmarkStart w:id="55" w:name="_Toc519540472"/>
      <w:bookmarkStart w:id="56" w:name="_Toc519540538"/>
      <w:bookmarkStart w:id="57" w:name="_Toc22451401"/>
      <w:bookmarkStart w:id="58" w:name="_Toc520052961"/>
      <w:bookmarkStart w:id="59" w:name="_Toc520052902"/>
      <w:bookmarkStart w:id="60" w:name="_Toc22451360"/>
      <w:bookmarkStart w:id="61" w:name="_Toc531637969"/>
      <w:bookmarkStart w:id="62" w:name="_Toc531638004"/>
    </w:p>
    <w:p>
      <w:pPr>
        <w:pStyle w:val="53"/>
        <w:numPr>
          <w:ilvl w:val="1"/>
          <w:numId w:val="0"/>
        </w:numPr>
        <w:spacing w:before="156" w:after="156"/>
        <w:ind w:firstLine="420" w:firstLineChars="200"/>
      </w:pPr>
      <w:r>
        <w:rPr>
          <w:rFonts w:hint="eastAsia"/>
        </w:rPr>
        <w:t>复合焊接 Hybrid welding</w:t>
      </w:r>
    </w:p>
    <w:p>
      <w:pPr>
        <w:pStyle w:val="26"/>
        <w:spacing w:line="360" w:lineRule="auto"/>
        <w:ind w:left="0" w:firstLineChars="0"/>
      </w:pPr>
      <w:r>
        <w:rPr>
          <w:rFonts w:hint="eastAsia"/>
        </w:rPr>
        <w:t>采用两种（或两种以上）热源形成同一个熔池进行焊接的工艺方法，见图1.</w:t>
      </w:r>
    </w:p>
    <w:p>
      <w:pPr>
        <w:pStyle w:val="26"/>
        <w:spacing w:line="360" w:lineRule="auto"/>
        <w:ind w:left="0" w:firstLineChars="0"/>
        <w:rPr>
          <w:sz w:val="4"/>
        </w:rPr>
      </w:pPr>
      <w:r>
        <w:drawing>
          <wp:anchor distT="0" distB="0" distL="114300" distR="114300" simplePos="0" relativeHeight="251667456" behindDoc="0" locked="0" layoutInCell="1" allowOverlap="1">
            <wp:simplePos x="0" y="0"/>
            <wp:positionH relativeFrom="column">
              <wp:posOffset>1751330</wp:posOffset>
            </wp:positionH>
            <wp:positionV relativeFrom="paragraph">
              <wp:posOffset>187960</wp:posOffset>
            </wp:positionV>
            <wp:extent cx="3061970" cy="1860550"/>
            <wp:effectExtent l="0" t="0" r="5080" b="6350"/>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61970" cy="1860550"/>
                    </a:xfrm>
                    <a:prstGeom prst="rect">
                      <a:avLst/>
                    </a:prstGeom>
                  </pic:spPr>
                </pic:pic>
              </a:graphicData>
            </a:graphic>
          </wp:anchor>
        </w:drawing>
      </w:r>
    </w:p>
    <w:p>
      <w:pPr>
        <w:widowControl/>
        <w:ind w:left="0"/>
        <w:jc w:val="left"/>
        <w:rPr>
          <w:rFonts w:ascii="宋体"/>
          <w:kern w:val="0"/>
          <w:szCs w:val="20"/>
        </w:rPr>
      </w:pPr>
    </w:p>
    <w:p>
      <w:pPr>
        <w:pStyle w:val="26"/>
        <w:spacing w:line="360" w:lineRule="auto"/>
        <w:ind w:left="0" w:firstLineChars="0"/>
        <w:jc w:val="center"/>
      </w:pPr>
    </w:p>
    <w:p>
      <w:pPr>
        <w:pStyle w:val="26"/>
        <w:spacing w:line="360" w:lineRule="auto"/>
        <w:ind w:left="0" w:firstLineChars="0"/>
        <w:jc w:val="center"/>
      </w:pPr>
    </w:p>
    <w:p>
      <w:pPr>
        <w:pStyle w:val="26"/>
        <w:spacing w:line="360" w:lineRule="auto"/>
        <w:ind w:left="0" w:firstLineChars="0"/>
        <w:jc w:val="center"/>
      </w:pPr>
    </w:p>
    <w:p>
      <w:pPr>
        <w:pStyle w:val="11"/>
        <w:spacing w:before="37" w:line="268" w:lineRule="auto"/>
        <w:ind w:left="112" w:firstLine="1050"/>
        <w:rPr>
          <w:rFonts w:ascii="宋体" w:eastAsia="宋体"/>
          <w:lang w:eastAsia="zh-CN"/>
        </w:rPr>
      </w:pPr>
      <w:r>
        <w:rPr>
          <w:rFonts w:hint="eastAsia" w:ascii="宋体" w:eastAsia="宋体"/>
          <w:lang w:eastAsia="zh-CN"/>
        </w:rPr>
        <w:t>说明：</w:t>
      </w:r>
    </w:p>
    <w:p>
      <w:pPr>
        <w:pStyle w:val="11"/>
        <w:spacing w:before="37" w:line="268" w:lineRule="auto"/>
        <w:ind w:left="112" w:firstLine="1050"/>
        <w:rPr>
          <w:rFonts w:ascii="宋体" w:eastAsia="宋体"/>
          <w:lang w:eastAsia="zh-CN"/>
        </w:rPr>
      </w:pPr>
      <w:r>
        <w:rPr>
          <w:rFonts w:hint="eastAsia" w:ascii="宋体" w:eastAsia="宋体"/>
          <w:lang w:eastAsia="zh-CN"/>
        </w:rPr>
        <w:t>1— 激光束；</w:t>
      </w:r>
    </w:p>
    <w:p>
      <w:pPr>
        <w:pStyle w:val="11"/>
        <w:spacing w:before="37" w:line="268" w:lineRule="auto"/>
        <w:ind w:left="112" w:firstLine="1050"/>
        <w:rPr>
          <w:rFonts w:ascii="宋体" w:eastAsia="宋体"/>
          <w:lang w:eastAsia="zh-CN"/>
        </w:rPr>
      </w:pPr>
      <w:r>
        <w:rPr>
          <w:rFonts w:hint="eastAsia" w:ascii="宋体" w:eastAsia="宋体"/>
          <w:lang w:eastAsia="zh-CN"/>
        </w:rPr>
        <w:t>2— 焊枪。</w:t>
      </w:r>
    </w:p>
    <w:p>
      <w:pPr>
        <w:pStyle w:val="11"/>
        <w:spacing w:before="21"/>
        <w:ind w:right="21"/>
        <w:jc w:val="center"/>
        <w:rPr>
          <w:rFonts w:ascii="宋体" w:eastAsia="宋体"/>
          <w:lang w:eastAsia="zh-CN"/>
        </w:rPr>
      </w:pPr>
      <w:r>
        <w:rPr>
          <w:rFonts w:hint="eastAsia" w:ascii="宋体" w:eastAsia="宋体"/>
          <w:lang w:eastAsia="zh-CN"/>
        </w:rPr>
        <w:t>图</w:t>
      </w:r>
      <w:r>
        <w:rPr>
          <w:lang w:eastAsia="zh-CN"/>
        </w:rPr>
        <w:t xml:space="preserve">1 </w:t>
      </w:r>
      <w:r>
        <w:rPr>
          <w:rFonts w:hint="eastAsia" w:ascii="宋体" w:eastAsia="宋体"/>
          <w:lang w:eastAsia="zh-CN"/>
        </w:rPr>
        <w:t>激光电弧复合焊接示意图</w:t>
      </w:r>
    </w:p>
    <w:bookmarkEnd w:id="54"/>
    <w:p>
      <w:pPr>
        <w:pStyle w:val="53"/>
        <w:spacing w:before="156" w:after="156"/>
      </w:pPr>
      <w:bookmarkStart w:id="63" w:name="_Toc1281"/>
    </w:p>
    <w:p>
      <w:pPr>
        <w:pStyle w:val="53"/>
        <w:numPr>
          <w:ilvl w:val="1"/>
          <w:numId w:val="0"/>
        </w:numPr>
        <w:spacing w:before="156" w:after="156"/>
        <w:ind w:firstLine="420" w:firstLineChars="200"/>
        <w:rPr>
          <w:rFonts w:hAnsi="黑体" w:cs="黑体"/>
        </w:rPr>
      </w:pPr>
      <w:r>
        <w:rPr>
          <w:rFonts w:hint="eastAsia" w:hAnsi="黑体" w:cs="黑体"/>
        </w:rPr>
        <w:t xml:space="preserve">上升 </w:t>
      </w:r>
      <w:r>
        <w:rPr>
          <w:rFonts w:hAnsi="黑体" w:cs="黑体"/>
        </w:rPr>
        <w:t>Slope up</w:t>
      </w:r>
    </w:p>
    <w:p>
      <w:pPr>
        <w:pStyle w:val="26"/>
        <w:spacing w:line="360" w:lineRule="auto"/>
        <w:ind w:left="0"/>
      </w:pPr>
      <w:r>
        <w:rPr>
          <w:rFonts w:hint="eastAsia"/>
        </w:rPr>
        <w:t>在焊接开始时，束流功率有节制性的增加。</w:t>
      </w:r>
    </w:p>
    <w:bookmarkEnd w:id="63"/>
    <w:p>
      <w:pPr>
        <w:pStyle w:val="53"/>
        <w:spacing w:before="156" w:after="156"/>
      </w:pPr>
      <w:bookmarkStart w:id="64" w:name="_Toc11737"/>
    </w:p>
    <w:p>
      <w:pPr>
        <w:pStyle w:val="53"/>
        <w:numPr>
          <w:ilvl w:val="1"/>
          <w:numId w:val="0"/>
        </w:numPr>
        <w:spacing w:before="156" w:after="156"/>
        <w:ind w:firstLine="420" w:firstLineChars="200"/>
      </w:pPr>
      <w:r>
        <w:rPr>
          <w:rFonts w:hint="eastAsia"/>
        </w:rPr>
        <w:t xml:space="preserve">下降 </w:t>
      </w:r>
      <w:r>
        <w:t>Slope down</w:t>
      </w:r>
    </w:p>
    <w:p>
      <w:pPr>
        <w:pStyle w:val="26"/>
        <w:spacing w:line="360" w:lineRule="auto"/>
        <w:ind w:left="0" w:firstLineChars="0"/>
        <w:rPr>
          <w:rFonts w:ascii="Times New Roman"/>
          <w:szCs w:val="21"/>
        </w:rPr>
      </w:pPr>
      <w:r>
        <w:rPr>
          <w:rFonts w:hint="eastAsia" w:ascii="Times New Roman"/>
          <w:szCs w:val="21"/>
        </w:rPr>
        <w:t>在焊接过程将要结束时，束流功率有节制性的减小。</w:t>
      </w:r>
    </w:p>
    <w:bookmarkEnd w:id="64"/>
    <w:p>
      <w:pPr>
        <w:pStyle w:val="53"/>
        <w:spacing w:before="156" w:after="156"/>
      </w:pPr>
      <w:bookmarkStart w:id="65" w:name="_Toc21447"/>
    </w:p>
    <w:bookmarkEnd w:id="65"/>
    <w:p>
      <w:pPr>
        <w:pStyle w:val="53"/>
        <w:numPr>
          <w:ilvl w:val="1"/>
          <w:numId w:val="0"/>
        </w:numPr>
        <w:spacing w:before="156" w:after="156"/>
        <w:ind w:firstLine="420" w:firstLineChars="200"/>
      </w:pPr>
      <w:r>
        <w:rPr>
          <w:rFonts w:hint="eastAsia"/>
        </w:rPr>
        <w:t>工作距离 Working distance</w:t>
      </w:r>
    </w:p>
    <w:p>
      <w:pPr>
        <w:pStyle w:val="26"/>
        <w:spacing w:line="360" w:lineRule="auto"/>
        <w:ind w:left="0" w:firstLineChars="0"/>
      </w:pPr>
      <w:r>
        <w:rPr>
          <w:rFonts w:hint="eastAsia"/>
        </w:rPr>
        <w:t>工件表面与设备标准基准点（该点相对实际聚焦镜或反射镜中心）之间的距离。</w:t>
      </w:r>
    </w:p>
    <w:p>
      <w:pPr>
        <w:pStyle w:val="53"/>
        <w:spacing w:before="156" w:after="156"/>
      </w:pPr>
      <w:bookmarkStart w:id="66" w:name="_Toc5963"/>
    </w:p>
    <w:p>
      <w:pPr>
        <w:pStyle w:val="53"/>
        <w:numPr>
          <w:ilvl w:val="1"/>
          <w:numId w:val="0"/>
        </w:numPr>
        <w:spacing w:before="156" w:after="156"/>
        <w:ind w:firstLine="420" w:firstLineChars="200"/>
      </w:pPr>
      <w:r>
        <w:rPr>
          <w:rFonts w:hint="eastAsia"/>
        </w:rPr>
        <w:t>几何参数 Geometrical parameters</w:t>
      </w:r>
    </w:p>
    <w:p>
      <w:pPr>
        <w:pStyle w:val="26"/>
        <w:spacing w:line="360" w:lineRule="auto"/>
        <w:ind w:left="0" w:firstLineChars="0"/>
        <w:rPr>
          <w:rFonts w:ascii="Times New Roman"/>
          <w:szCs w:val="21"/>
        </w:rPr>
      </w:pPr>
      <w:r>
        <w:rPr>
          <w:rFonts w:hint="eastAsia"/>
        </w:rPr>
        <w:t>描述激光束、电弧与焊接接头的相对位置的所有尺寸及公差。</w:t>
      </w:r>
      <w:bookmarkEnd w:id="66"/>
    </w:p>
    <w:p>
      <w:pPr>
        <w:pStyle w:val="53"/>
        <w:spacing w:before="156" w:after="156"/>
      </w:pPr>
    </w:p>
    <w:p>
      <w:pPr>
        <w:pStyle w:val="53"/>
        <w:numPr>
          <w:ilvl w:val="1"/>
          <w:numId w:val="0"/>
        </w:numPr>
        <w:spacing w:before="156" w:after="156"/>
        <w:ind w:firstLine="420" w:firstLineChars="200"/>
      </w:pPr>
      <w:r>
        <w:rPr>
          <w:rFonts w:hint="eastAsia"/>
        </w:rPr>
        <w:t>定位焊道 Tracking run</w:t>
      </w:r>
    </w:p>
    <w:p>
      <w:pPr>
        <w:pStyle w:val="26"/>
        <w:spacing w:line="360" w:lineRule="auto"/>
        <w:ind w:left="0" w:firstLineChars="0"/>
      </w:pPr>
      <w:r>
        <w:rPr>
          <w:rFonts w:hint="eastAsia"/>
        </w:rPr>
        <w:t>为将被焊件固定在合适的位置，而在正式焊接之前焊制的焊道。</w:t>
      </w:r>
    </w:p>
    <w:p>
      <w:pPr>
        <w:pStyle w:val="26"/>
        <w:spacing w:line="360" w:lineRule="auto"/>
        <w:ind w:left="0" w:firstLineChars="0"/>
      </w:pPr>
      <w:r>
        <w:rPr>
          <w:rFonts w:hint="eastAsia"/>
        </w:rPr>
        <w:t>注：定位焊道可以是连续焊或断续焊的不完全熔透焊道。</w:t>
      </w:r>
    </w:p>
    <w:bookmarkEnd w:id="55"/>
    <w:bookmarkEnd w:id="56"/>
    <w:bookmarkEnd w:id="57"/>
    <w:bookmarkEnd w:id="58"/>
    <w:bookmarkEnd w:id="59"/>
    <w:bookmarkEnd w:id="60"/>
    <w:bookmarkEnd w:id="61"/>
    <w:bookmarkEnd w:id="62"/>
    <w:p>
      <w:pPr>
        <w:widowControl/>
        <w:ind w:left="0"/>
        <w:jc w:val="left"/>
        <w:rPr>
          <w:rFonts w:ascii="宋体"/>
          <w:kern w:val="0"/>
          <w:szCs w:val="20"/>
        </w:rPr>
      </w:pPr>
      <w:r>
        <w:br w:type="page"/>
      </w:r>
    </w:p>
    <w:p>
      <w:pPr>
        <w:pStyle w:val="75"/>
        <w:numPr>
          <w:ilvl w:val="0"/>
          <w:numId w:val="19"/>
        </w:numPr>
        <w:spacing w:before="312" w:after="312"/>
        <w:outlineLvl w:val="0"/>
      </w:pPr>
      <w:bookmarkStart w:id="67" w:name="_Toc111304449"/>
      <w:r>
        <w:rPr>
          <w:rFonts w:hint="eastAsia"/>
        </w:rPr>
        <w:t>激光电弧复合焊接工艺</w:t>
      </w:r>
      <w:bookmarkEnd w:id="67"/>
    </w:p>
    <w:p>
      <w:pPr>
        <w:pStyle w:val="75"/>
        <w:numPr>
          <w:ilvl w:val="0"/>
          <w:numId w:val="0"/>
        </w:numPr>
        <w:spacing w:before="312" w:after="312"/>
        <w:outlineLvl w:val="0"/>
      </w:pPr>
      <w:bookmarkStart w:id="68" w:name="_Toc111304450"/>
      <w:bookmarkStart w:id="69" w:name="_Toc22451410"/>
      <w:bookmarkStart w:id="70" w:name="_Toc519540516"/>
      <w:bookmarkStart w:id="71" w:name="_Toc520052969"/>
      <w:bookmarkStart w:id="72" w:name="_Hlk28374822"/>
      <w:bookmarkStart w:id="73" w:name="_Toc531637998"/>
      <w:bookmarkStart w:id="74" w:name="_Toc531638012"/>
      <w:bookmarkStart w:id="75" w:name="_Toc22451391"/>
      <w:bookmarkStart w:id="76" w:name="BKCKWX"/>
      <w:bookmarkStart w:id="77" w:name="_Toc519540570"/>
      <w:bookmarkStart w:id="78" w:name="_Toc520052913"/>
      <w:r>
        <w:rPr>
          <w:rFonts w:hint="eastAsia"/>
        </w:rPr>
        <w:t>4.1 工艺描述</w:t>
      </w:r>
      <w:bookmarkEnd w:id="68"/>
    </w:p>
    <w:p>
      <w:pPr>
        <w:pStyle w:val="26"/>
        <w:spacing w:line="360" w:lineRule="auto"/>
        <w:ind w:left="0"/>
        <w:rPr>
          <w:rFonts w:hAnsi="宋体"/>
        </w:rPr>
      </w:pPr>
      <w:r>
        <w:rPr>
          <w:rFonts w:hint="eastAsia" w:hAnsi="宋体"/>
        </w:rPr>
        <w:t>激光焊和电弧焊技术的结合称为激光电弧复合焊接，包括激光类型和电弧焊方法。激光电弧复合焊接是一种将激光束和电弧结合在一个工艺区域并形成一个熔池的过程。</w:t>
      </w:r>
    </w:p>
    <w:p>
      <w:pPr>
        <w:pStyle w:val="75"/>
        <w:numPr>
          <w:ilvl w:val="0"/>
          <w:numId w:val="0"/>
        </w:numPr>
        <w:spacing w:before="312" w:after="312"/>
        <w:outlineLvl w:val="0"/>
      </w:pPr>
      <w:bookmarkStart w:id="79" w:name="_Toc111304451"/>
      <w:r>
        <w:rPr>
          <w:rFonts w:hint="eastAsia"/>
        </w:rPr>
        <w:t>4.2 激光电弧复合焊接特点</w:t>
      </w:r>
      <w:bookmarkEnd w:id="79"/>
    </w:p>
    <w:p>
      <w:pPr>
        <w:pStyle w:val="26"/>
        <w:spacing w:line="360" w:lineRule="auto"/>
        <w:ind w:left="0"/>
        <w:rPr>
          <w:rFonts w:hAnsi="宋体"/>
        </w:rPr>
      </w:pPr>
      <w:r>
        <w:rPr>
          <w:rFonts w:hint="eastAsia" w:hAnsi="宋体"/>
        </w:rPr>
        <w:t>与传统的焊接方法相比，激光电弧复合焊接的热输入量小，焊接速度快，对待焊工件的装配精度要求高。</w:t>
      </w:r>
    </w:p>
    <w:p>
      <w:pPr>
        <w:pStyle w:val="75"/>
        <w:numPr>
          <w:ilvl w:val="0"/>
          <w:numId w:val="0"/>
        </w:numPr>
        <w:spacing w:before="312" w:after="312"/>
        <w:outlineLvl w:val="0"/>
      </w:pPr>
      <w:bookmarkStart w:id="80" w:name="_Toc111304452"/>
      <w:r>
        <w:rPr>
          <w:rFonts w:hint="eastAsia"/>
        </w:rPr>
        <w:t>4.3 工艺认可</w:t>
      </w:r>
      <w:bookmarkEnd w:id="80"/>
      <w:r>
        <w:rPr>
          <w:rFonts w:hint="eastAsia"/>
        </w:rPr>
        <w:t>应遵循的步骤</w:t>
      </w:r>
    </w:p>
    <w:p>
      <w:pPr>
        <w:pStyle w:val="75"/>
        <w:numPr>
          <w:ilvl w:val="0"/>
          <w:numId w:val="0"/>
        </w:numPr>
        <w:spacing w:before="312" w:after="312"/>
        <w:outlineLvl w:val="0"/>
        <w:rPr>
          <w:rFonts w:hAnsi="宋体" w:eastAsia="宋体"/>
        </w:rPr>
      </w:pPr>
      <w:r>
        <w:rPr>
          <w:rFonts w:hint="eastAsia" w:hAnsi="宋体"/>
        </w:rPr>
        <w:t>4.3.1</w:t>
      </w:r>
      <w:r>
        <w:rPr>
          <w:rFonts w:hint="eastAsia" w:hAnsi="宋体" w:eastAsia="宋体"/>
        </w:rPr>
        <w:t xml:space="preserve"> </w:t>
      </w:r>
      <w:r>
        <w:rPr>
          <w:rFonts w:hint="eastAsia"/>
        </w:rPr>
        <w:t>参数确定</w:t>
      </w:r>
    </w:p>
    <w:p>
      <w:pPr>
        <w:pStyle w:val="11"/>
        <w:spacing w:line="360" w:lineRule="auto"/>
        <w:ind w:firstLine="420" w:firstLineChars="200"/>
        <w:rPr>
          <w:rFonts w:hAnsi="宋体"/>
          <w:lang w:eastAsia="zh-CN"/>
        </w:rPr>
      </w:pPr>
      <w:r>
        <w:rPr>
          <w:rFonts w:hint="eastAsia" w:hAnsi="宋体"/>
          <w:lang w:eastAsia="zh-CN"/>
        </w:rPr>
        <w:t>确定基本工艺参数，进行系统地试验和测试。</w:t>
      </w:r>
    </w:p>
    <w:p>
      <w:pPr>
        <w:pStyle w:val="75"/>
        <w:numPr>
          <w:ilvl w:val="0"/>
          <w:numId w:val="0"/>
        </w:numPr>
        <w:spacing w:before="312" w:after="312"/>
        <w:outlineLvl w:val="0"/>
        <w:rPr>
          <w:rFonts w:hAnsi="宋体" w:eastAsia="宋体"/>
        </w:rPr>
      </w:pPr>
      <w:r>
        <w:rPr>
          <w:rFonts w:hint="eastAsia" w:hAnsi="宋体"/>
        </w:rPr>
        <w:t>4.3.2</w:t>
      </w:r>
      <w:r>
        <w:rPr>
          <w:rFonts w:hint="eastAsia" w:hAnsi="宋体" w:eastAsia="宋体"/>
        </w:rPr>
        <w:t xml:space="preserve"> </w:t>
      </w:r>
      <w:r>
        <w:rPr>
          <w:rFonts w:hint="eastAsia"/>
        </w:rPr>
        <w:t>过程控制</w:t>
      </w:r>
    </w:p>
    <w:p>
      <w:pPr>
        <w:pStyle w:val="11"/>
        <w:spacing w:line="360" w:lineRule="auto"/>
        <w:ind w:firstLine="420" w:firstLineChars="200"/>
        <w:rPr>
          <w:rFonts w:hAnsi="宋体"/>
          <w:lang w:eastAsia="zh-CN"/>
        </w:rPr>
      </w:pPr>
      <w:r>
        <w:rPr>
          <w:rFonts w:hint="eastAsia" w:hAnsi="宋体"/>
          <w:lang w:eastAsia="zh-CN"/>
        </w:rPr>
        <w:t>引入一种新的焊接方法时，认可工作须在过程受控且证明过程稳定、可重复后实施。</w:t>
      </w:r>
    </w:p>
    <w:p>
      <w:pPr>
        <w:pStyle w:val="75"/>
        <w:numPr>
          <w:ilvl w:val="0"/>
          <w:numId w:val="0"/>
        </w:numPr>
        <w:spacing w:before="312" w:after="312"/>
        <w:outlineLvl w:val="0"/>
        <w:rPr>
          <w:rFonts w:hAnsi="宋体" w:eastAsia="宋体"/>
        </w:rPr>
      </w:pPr>
      <w:r>
        <w:rPr>
          <w:rFonts w:hint="eastAsia" w:hAnsi="宋体"/>
        </w:rPr>
        <w:t>4.3.3</w:t>
      </w:r>
      <w:r>
        <w:rPr>
          <w:rFonts w:hint="eastAsia" w:hAnsi="宋体" w:eastAsia="宋体"/>
        </w:rPr>
        <w:t xml:space="preserve"> </w:t>
      </w:r>
      <w:r>
        <w:rPr>
          <w:rFonts w:hint="eastAsia"/>
        </w:rPr>
        <w:t>正式认可</w:t>
      </w:r>
    </w:p>
    <w:p>
      <w:pPr>
        <w:pStyle w:val="11"/>
        <w:spacing w:line="360" w:lineRule="auto"/>
        <w:ind w:firstLine="420" w:firstLineChars="200"/>
        <w:rPr>
          <w:rFonts w:ascii="宋体"/>
          <w:sz w:val="15"/>
          <w:lang w:eastAsia="zh-CN"/>
        </w:rPr>
      </w:pPr>
      <w:r>
        <w:rPr>
          <w:rFonts w:hint="eastAsia" w:hAnsi="宋体"/>
          <w:lang w:eastAsia="zh-CN"/>
        </w:rPr>
        <w:t>确定稳定且有变化范围的焊接工艺后，进行正式的工艺认可，包括编写</w:t>
      </w:r>
      <w:r>
        <w:rPr>
          <w:rFonts w:hint="eastAsia" w:hAnsi="宋体" w:eastAsia="宋体"/>
          <w:lang w:eastAsia="zh-CN"/>
        </w:rPr>
        <w:t>预焊接工艺规范</w:t>
      </w:r>
      <w:r>
        <w:rPr>
          <w:rFonts w:hint="eastAsia" w:hAnsi="宋体"/>
          <w:lang w:eastAsia="zh-CN"/>
        </w:rPr>
        <w:t>和</w:t>
      </w:r>
      <w:r>
        <w:rPr>
          <w:rFonts w:hint="eastAsia" w:hAnsi="宋体" w:eastAsia="宋体"/>
          <w:lang w:eastAsia="zh-CN"/>
        </w:rPr>
        <w:t>焊接工艺评定实验</w:t>
      </w:r>
      <w:r>
        <w:rPr>
          <w:rFonts w:hint="eastAsia" w:hAnsi="宋体"/>
          <w:lang w:eastAsia="zh-CN"/>
        </w:rPr>
        <w:t>。</w:t>
      </w:r>
    </w:p>
    <w:p>
      <w:pPr>
        <w:pStyle w:val="75"/>
        <w:numPr>
          <w:ilvl w:val="0"/>
          <w:numId w:val="19"/>
        </w:numPr>
        <w:spacing w:before="312" w:after="312"/>
        <w:outlineLvl w:val="0"/>
      </w:pPr>
      <w:bookmarkStart w:id="81" w:name="_Toc111304453"/>
      <w:r>
        <w:rPr>
          <w:rFonts w:hint="eastAsia"/>
        </w:rPr>
        <w:t>激光电弧复合焊接试验要求</w:t>
      </w:r>
      <w:bookmarkEnd w:id="81"/>
    </w:p>
    <w:p>
      <w:pPr>
        <w:pStyle w:val="75"/>
        <w:numPr>
          <w:ilvl w:val="0"/>
          <w:numId w:val="0"/>
        </w:numPr>
        <w:spacing w:before="312" w:after="312"/>
        <w:outlineLvl w:val="0"/>
      </w:pPr>
      <w:bookmarkStart w:id="82" w:name="_Toc111304454"/>
      <w:r>
        <w:rPr>
          <w:rFonts w:hint="eastAsia"/>
        </w:rPr>
        <w:t>5.1 焊接设备</w:t>
      </w:r>
      <w:bookmarkEnd w:id="82"/>
    </w:p>
    <w:p>
      <w:pPr>
        <w:pStyle w:val="26"/>
        <w:spacing w:line="360" w:lineRule="auto"/>
        <w:ind w:left="0"/>
      </w:pPr>
      <w:r>
        <w:rPr>
          <w:rFonts w:hint="eastAsia" w:hAnsi="宋体"/>
        </w:rPr>
        <w:t xml:space="preserve">焊接设备的激光束部分在使用前应按ISO 15616-1:2003进行测试。设备状况应在ISO </w:t>
      </w:r>
      <w:r>
        <w:rPr>
          <w:rFonts w:hint="eastAsia"/>
        </w:rPr>
        <w:t>15616-1:2003规定的有限偏差范围内。气体流量和压力测量仪表应定期按照ISO 15616-3:2003标准进行校准。</w:t>
      </w:r>
    </w:p>
    <w:p>
      <w:pPr>
        <w:pStyle w:val="75"/>
        <w:numPr>
          <w:ilvl w:val="0"/>
          <w:numId w:val="0"/>
        </w:numPr>
        <w:spacing w:before="312" w:after="312"/>
        <w:outlineLvl w:val="0"/>
      </w:pPr>
      <w:bookmarkStart w:id="83" w:name="_Toc111304455"/>
      <w:r>
        <w:rPr>
          <w:rFonts w:hint="eastAsia"/>
        </w:rPr>
        <w:t>5.2 焊接材料</w:t>
      </w:r>
      <w:bookmarkEnd w:id="83"/>
    </w:p>
    <w:p>
      <w:pPr>
        <w:pStyle w:val="26"/>
        <w:spacing w:line="360" w:lineRule="auto"/>
        <w:ind w:left="0"/>
      </w:pPr>
      <w:r>
        <w:rPr>
          <w:rFonts w:hint="eastAsia" w:hAnsi="宋体"/>
        </w:rPr>
        <w:t>焊接工艺规程</w:t>
      </w:r>
      <w:r>
        <w:rPr>
          <w:rFonts w:hint="eastAsia"/>
        </w:rPr>
        <w:t>中应确定焊接材料和气体等辅助材料，并纳入采购清单。</w:t>
      </w:r>
    </w:p>
    <w:p>
      <w:pPr>
        <w:pStyle w:val="75"/>
        <w:numPr>
          <w:ilvl w:val="0"/>
          <w:numId w:val="0"/>
        </w:numPr>
        <w:spacing w:before="312" w:after="312"/>
        <w:outlineLvl w:val="0"/>
      </w:pPr>
      <w:bookmarkStart w:id="84" w:name="_Toc111304456"/>
      <w:r>
        <w:rPr>
          <w:rFonts w:hint="eastAsia"/>
        </w:rPr>
        <w:t>5.3 焊接人员</w:t>
      </w:r>
      <w:bookmarkEnd w:id="84"/>
    </w:p>
    <w:p>
      <w:pPr>
        <w:pStyle w:val="26"/>
        <w:spacing w:line="360" w:lineRule="auto"/>
        <w:ind w:left="0"/>
      </w:pPr>
      <w:r>
        <w:rPr>
          <w:rFonts w:hint="eastAsia" w:hAnsi="宋体"/>
        </w:rPr>
        <w:t>焊接人员应进行专业培训，持证上岗</w:t>
      </w:r>
    </w:p>
    <w:p>
      <w:pPr>
        <w:pStyle w:val="75"/>
        <w:numPr>
          <w:ilvl w:val="0"/>
          <w:numId w:val="0"/>
        </w:numPr>
        <w:spacing w:before="312" w:after="312"/>
        <w:outlineLvl w:val="0"/>
      </w:pPr>
      <w:bookmarkStart w:id="85" w:name="_Toc111304457"/>
      <w:r>
        <w:rPr>
          <w:rFonts w:hint="eastAsia"/>
        </w:rPr>
        <w:t>5.4 焊接工艺</w:t>
      </w:r>
      <w:bookmarkEnd w:id="85"/>
      <w:r>
        <w:rPr>
          <w:rFonts w:hint="eastAsia"/>
        </w:rPr>
        <w:t>评定</w:t>
      </w:r>
    </w:p>
    <w:p>
      <w:pPr>
        <w:pStyle w:val="26"/>
        <w:spacing w:line="360" w:lineRule="auto"/>
        <w:ind w:left="0"/>
      </w:pPr>
      <w:r>
        <w:rPr>
          <w:rFonts w:hint="eastAsia"/>
        </w:rPr>
        <w:t>在焊接工艺评定之前，必须有文件证明焊接工艺稳定且可重复。</w:t>
      </w:r>
    </w:p>
    <w:p>
      <w:pPr>
        <w:pStyle w:val="11"/>
        <w:spacing w:before="12"/>
        <w:ind w:firstLine="750"/>
        <w:rPr>
          <w:rFonts w:ascii="宋体"/>
          <w:sz w:val="15"/>
          <w:lang w:eastAsia="zh-CN"/>
        </w:rPr>
      </w:pPr>
    </w:p>
    <w:p>
      <w:pPr>
        <w:pStyle w:val="75"/>
        <w:numPr>
          <w:ilvl w:val="0"/>
          <w:numId w:val="19"/>
        </w:numPr>
        <w:spacing w:before="312" w:after="312"/>
        <w:outlineLvl w:val="0"/>
      </w:pPr>
      <w:bookmarkStart w:id="86" w:name="_Toc111304458"/>
      <w:r>
        <w:rPr>
          <w:rFonts w:hint="eastAsia"/>
        </w:rPr>
        <w:t>预焊接工艺规范(pWPS)和焊接工艺规程(WPS)</w:t>
      </w:r>
      <w:bookmarkEnd w:id="86"/>
    </w:p>
    <w:p>
      <w:pPr>
        <w:pStyle w:val="26"/>
        <w:spacing w:line="360" w:lineRule="auto"/>
        <w:ind w:left="0"/>
      </w:pPr>
      <w:r>
        <w:rPr>
          <w:rFonts w:hint="eastAsia"/>
        </w:rPr>
        <w:t>在进行焊接试验之前应先编制pWPS。此规范应包含影响激光电弧复合焊接质量的所有相关参数。WPS应根据焊接工艺评定试验结果和规范要求的焊接参数范围进行编制。典型的焊接参数应包含在pWPS和WPS中。</w:t>
      </w:r>
    </w:p>
    <w:p>
      <w:pPr>
        <w:pStyle w:val="75"/>
        <w:numPr>
          <w:ilvl w:val="0"/>
          <w:numId w:val="0"/>
        </w:numPr>
        <w:spacing w:before="312" w:after="312"/>
        <w:outlineLvl w:val="0"/>
      </w:pPr>
      <w:bookmarkStart w:id="87" w:name="_Toc111304459"/>
      <w:r>
        <w:rPr>
          <w:rFonts w:hint="eastAsia"/>
        </w:rPr>
        <w:t>6.1 制造商</w:t>
      </w:r>
      <w:bookmarkEnd w:id="87"/>
    </w:p>
    <w:p>
      <w:pPr>
        <w:pStyle w:val="26"/>
        <w:spacing w:line="360" w:lineRule="auto"/>
        <w:ind w:left="0"/>
      </w:pPr>
      <w:r>
        <w:rPr>
          <w:rFonts w:hint="eastAsia"/>
        </w:rPr>
        <w:t>——WPS的编号；</w:t>
      </w:r>
    </w:p>
    <w:p>
      <w:pPr>
        <w:pStyle w:val="26"/>
        <w:spacing w:line="360" w:lineRule="auto"/>
        <w:ind w:left="0"/>
      </w:pPr>
      <w:r>
        <w:rPr>
          <w:rFonts w:hint="eastAsia"/>
        </w:rPr>
        <w:t>——焊接</w:t>
      </w:r>
      <w:r>
        <w:rPr>
          <w:rFonts w:hint="eastAsia" w:hAnsi="宋体"/>
        </w:rPr>
        <w:t>工艺</w:t>
      </w:r>
      <w:r>
        <w:rPr>
          <w:rFonts w:hint="eastAsia"/>
        </w:rPr>
        <w:t>评定报告（WPQR）的编号；</w:t>
      </w:r>
    </w:p>
    <w:p>
      <w:pPr>
        <w:pStyle w:val="26"/>
        <w:spacing w:line="360" w:lineRule="auto"/>
        <w:ind w:left="0"/>
      </w:pPr>
      <w:r>
        <w:rPr>
          <w:rFonts w:hint="eastAsia"/>
        </w:rPr>
        <w:t>——制造商名称。</w:t>
      </w:r>
    </w:p>
    <w:p>
      <w:pPr>
        <w:pStyle w:val="75"/>
        <w:numPr>
          <w:ilvl w:val="0"/>
          <w:numId w:val="0"/>
        </w:numPr>
        <w:spacing w:before="312" w:after="312"/>
        <w:outlineLvl w:val="0"/>
      </w:pPr>
      <w:bookmarkStart w:id="88" w:name="_Toc111304460"/>
      <w:r>
        <w:rPr>
          <w:rFonts w:hint="eastAsia"/>
        </w:rPr>
        <w:t>6.2 母材</w:t>
      </w:r>
      <w:bookmarkEnd w:id="88"/>
    </w:p>
    <w:p>
      <w:pPr>
        <w:pStyle w:val="26"/>
        <w:spacing w:line="360" w:lineRule="auto"/>
        <w:ind w:left="0"/>
      </w:pPr>
      <w:r>
        <w:rPr>
          <w:rFonts w:hint="eastAsia"/>
        </w:rPr>
        <w:t>——母材（</w:t>
      </w:r>
      <w:r>
        <w:rPr>
          <w:rFonts w:hint="eastAsia" w:hAnsi="宋体"/>
        </w:rPr>
        <w:t>类型</w:t>
      </w:r>
      <w:r>
        <w:rPr>
          <w:rFonts w:hint="eastAsia"/>
        </w:rPr>
        <w:t>/等级）；</w:t>
      </w:r>
    </w:p>
    <w:p>
      <w:pPr>
        <w:pStyle w:val="26"/>
        <w:spacing w:line="360" w:lineRule="auto"/>
        <w:ind w:left="0"/>
      </w:pPr>
      <w:r>
        <w:rPr>
          <w:rFonts w:hint="eastAsia"/>
        </w:rPr>
        <w:t>——母材的厚度范围。</w:t>
      </w:r>
    </w:p>
    <w:p>
      <w:pPr>
        <w:pStyle w:val="75"/>
        <w:numPr>
          <w:ilvl w:val="0"/>
          <w:numId w:val="0"/>
        </w:numPr>
        <w:spacing w:before="312" w:after="312"/>
        <w:outlineLvl w:val="0"/>
      </w:pPr>
      <w:bookmarkStart w:id="89" w:name="_Toc111304461"/>
      <w:r>
        <w:rPr>
          <w:rFonts w:hint="eastAsia"/>
        </w:rPr>
        <w:t>6.3 焊接方法</w:t>
      </w:r>
      <w:bookmarkEnd w:id="89"/>
    </w:p>
    <w:p>
      <w:pPr>
        <w:pStyle w:val="26"/>
        <w:spacing w:line="360" w:lineRule="auto"/>
        <w:ind w:left="0"/>
      </w:pPr>
      <w:r>
        <w:rPr>
          <w:rFonts w:hint="eastAsia"/>
        </w:rPr>
        <w:t>应用的</w:t>
      </w:r>
      <w:r>
        <w:rPr>
          <w:rFonts w:hint="eastAsia" w:hAnsi="宋体"/>
        </w:rPr>
        <w:t>焊接</w:t>
      </w:r>
      <w:r>
        <w:rPr>
          <w:rFonts w:hint="eastAsia"/>
        </w:rPr>
        <w:t>方法应采用</w:t>
      </w:r>
      <w:r>
        <w:rPr>
          <w:rFonts w:hint="eastAsia" w:hAnsi="宋体"/>
        </w:rPr>
        <w:t>ISO 4063-2009</w:t>
      </w:r>
      <w:r>
        <w:rPr>
          <w:rFonts w:hint="eastAsia"/>
        </w:rPr>
        <w:t>规定的方法代号来表述，每种焊接方法用“&amp;”分隔。</w:t>
      </w:r>
    </w:p>
    <w:p>
      <w:pPr>
        <w:pStyle w:val="75"/>
        <w:numPr>
          <w:ilvl w:val="0"/>
          <w:numId w:val="0"/>
        </w:numPr>
        <w:spacing w:before="312" w:after="312"/>
        <w:outlineLvl w:val="0"/>
      </w:pPr>
      <w:bookmarkStart w:id="90" w:name="_Toc111304462"/>
      <w:r>
        <w:rPr>
          <w:rFonts w:hint="eastAsia"/>
        </w:rPr>
        <w:t>6.4 接头设计</w:t>
      </w:r>
      <w:bookmarkEnd w:id="90"/>
    </w:p>
    <w:p>
      <w:pPr>
        <w:pStyle w:val="26"/>
        <w:spacing w:line="360" w:lineRule="auto"/>
        <w:ind w:left="0"/>
      </w:pPr>
      <w:r>
        <w:rPr>
          <w:rFonts w:hint="eastAsia"/>
        </w:rPr>
        <w:t>应提供描述接头的设计、形状、尺寸、公差的图样，包括表面粗糙度或提供相关信息的标准编号。</w:t>
      </w:r>
    </w:p>
    <w:p>
      <w:pPr>
        <w:pStyle w:val="75"/>
        <w:numPr>
          <w:ilvl w:val="0"/>
          <w:numId w:val="0"/>
        </w:numPr>
        <w:spacing w:before="312" w:after="312"/>
        <w:outlineLvl w:val="0"/>
      </w:pPr>
      <w:bookmarkStart w:id="91" w:name="_Toc111304463"/>
      <w:r>
        <w:rPr>
          <w:rFonts w:hint="eastAsia"/>
        </w:rPr>
        <w:t>6.5 焊接位置</w:t>
      </w:r>
      <w:bookmarkEnd w:id="91"/>
    </w:p>
    <w:p>
      <w:pPr>
        <w:pStyle w:val="26"/>
        <w:spacing w:line="360" w:lineRule="auto"/>
        <w:ind w:left="0"/>
      </w:pPr>
      <w:r>
        <w:rPr>
          <w:rFonts w:hint="eastAsia"/>
        </w:rPr>
        <w:t>焊接</w:t>
      </w:r>
      <w:r>
        <w:rPr>
          <w:rFonts w:hint="eastAsia" w:hAnsi="宋体"/>
        </w:rPr>
        <w:t>位置</w:t>
      </w:r>
      <w:r>
        <w:rPr>
          <w:rFonts w:hint="eastAsia"/>
        </w:rPr>
        <w:t>应按ISO 6947-2019或其他相关标准确定。</w:t>
      </w:r>
    </w:p>
    <w:p>
      <w:pPr>
        <w:pStyle w:val="75"/>
        <w:numPr>
          <w:ilvl w:val="0"/>
          <w:numId w:val="0"/>
        </w:numPr>
        <w:spacing w:before="312" w:after="312"/>
        <w:outlineLvl w:val="0"/>
      </w:pPr>
      <w:bookmarkStart w:id="92" w:name="_Toc111304464"/>
      <w:r>
        <w:rPr>
          <w:rFonts w:hint="eastAsia"/>
        </w:rPr>
        <w:t>6.6 焊接接头制备</w:t>
      </w:r>
      <w:bookmarkEnd w:id="92"/>
    </w:p>
    <w:p>
      <w:pPr>
        <w:pStyle w:val="26"/>
        <w:spacing w:line="360" w:lineRule="auto"/>
        <w:ind w:left="0"/>
      </w:pPr>
      <w:r>
        <w:rPr>
          <w:rFonts w:hint="eastAsia"/>
        </w:rPr>
        <w:t>应提供接头制备的下列有关信息：</w:t>
      </w:r>
    </w:p>
    <w:p>
      <w:pPr>
        <w:pStyle w:val="26"/>
        <w:spacing w:line="360" w:lineRule="auto"/>
        <w:ind w:left="0"/>
      </w:pPr>
      <w:r>
        <w:rPr>
          <w:rFonts w:hint="eastAsia"/>
        </w:rPr>
        <w:t>——接头</w:t>
      </w:r>
      <w:r>
        <w:rPr>
          <w:rFonts w:hint="eastAsia" w:hAnsi="宋体"/>
        </w:rPr>
        <w:t>制备</w:t>
      </w:r>
      <w:r>
        <w:rPr>
          <w:rFonts w:hint="eastAsia"/>
        </w:rPr>
        <w:t>方法、清洗、去污等；</w:t>
      </w:r>
    </w:p>
    <w:p>
      <w:pPr>
        <w:pStyle w:val="26"/>
        <w:spacing w:line="360" w:lineRule="auto"/>
        <w:ind w:left="0"/>
      </w:pPr>
      <w:r>
        <w:rPr>
          <w:rFonts w:hint="eastAsia"/>
        </w:rPr>
        <w:t>——已</w:t>
      </w:r>
      <w:r>
        <w:rPr>
          <w:rFonts w:hint="eastAsia" w:hAnsi="宋体"/>
        </w:rPr>
        <w:t>准备好</w:t>
      </w:r>
      <w:r>
        <w:rPr>
          <w:rFonts w:hint="eastAsia"/>
        </w:rPr>
        <w:t>的接头保护。</w:t>
      </w:r>
    </w:p>
    <w:p>
      <w:pPr>
        <w:pStyle w:val="75"/>
        <w:numPr>
          <w:ilvl w:val="0"/>
          <w:numId w:val="0"/>
        </w:numPr>
        <w:spacing w:before="312" w:after="312"/>
        <w:outlineLvl w:val="0"/>
      </w:pPr>
      <w:bookmarkStart w:id="93" w:name="_Toc111304465"/>
      <w:r>
        <w:rPr>
          <w:rFonts w:hint="eastAsia"/>
        </w:rPr>
        <w:t>6.7 焊接操作</w:t>
      </w:r>
      <w:bookmarkEnd w:id="93"/>
    </w:p>
    <w:p>
      <w:pPr>
        <w:pStyle w:val="26"/>
        <w:spacing w:line="360" w:lineRule="auto"/>
        <w:ind w:left="0"/>
      </w:pPr>
      <w:r>
        <w:rPr>
          <w:rFonts w:hint="eastAsia"/>
        </w:rPr>
        <w:t>应包括以下信息：</w:t>
      </w:r>
    </w:p>
    <w:p>
      <w:pPr>
        <w:pStyle w:val="26"/>
        <w:spacing w:line="360" w:lineRule="auto"/>
        <w:ind w:left="0"/>
      </w:pPr>
      <w:r>
        <w:rPr>
          <w:rFonts w:hint="eastAsia"/>
        </w:rPr>
        <w:t>——激光及焊丝摆动或不摆动；</w:t>
      </w:r>
    </w:p>
    <w:p>
      <w:pPr>
        <w:pStyle w:val="26"/>
        <w:spacing w:line="360" w:lineRule="auto"/>
        <w:ind w:left="0"/>
      </w:pPr>
      <w:r>
        <w:rPr>
          <w:rFonts w:hint="eastAsia"/>
        </w:rPr>
        <w:t>——激光及焊丝摆动的方式、振幅、频率及停顿时间。</w:t>
      </w:r>
    </w:p>
    <w:p>
      <w:pPr>
        <w:pStyle w:val="75"/>
        <w:numPr>
          <w:ilvl w:val="0"/>
          <w:numId w:val="0"/>
        </w:numPr>
        <w:spacing w:before="312" w:after="312"/>
        <w:outlineLvl w:val="0"/>
      </w:pPr>
      <w:bookmarkStart w:id="94" w:name="_Toc111304466"/>
      <w:r>
        <w:rPr>
          <w:rFonts w:hint="eastAsia"/>
        </w:rPr>
        <w:t>6.8 装配定位</w:t>
      </w:r>
      <w:bookmarkEnd w:id="94"/>
    </w:p>
    <w:p>
      <w:pPr>
        <w:pStyle w:val="26"/>
        <w:spacing w:line="360" w:lineRule="auto"/>
        <w:ind w:left="0"/>
      </w:pPr>
      <w:r>
        <w:rPr>
          <w:rFonts w:hint="eastAsia"/>
        </w:rPr>
        <w:t>应对固定</w:t>
      </w:r>
      <w:r>
        <w:rPr>
          <w:rFonts w:hint="eastAsia" w:hAnsi="宋体"/>
        </w:rPr>
        <w:t>焊接</w:t>
      </w:r>
      <w:r>
        <w:rPr>
          <w:rFonts w:hint="eastAsia"/>
        </w:rPr>
        <w:t>工件所使用的方法（包括定位焊）进行说明。</w:t>
      </w:r>
    </w:p>
    <w:p>
      <w:pPr>
        <w:pStyle w:val="75"/>
        <w:numPr>
          <w:ilvl w:val="0"/>
          <w:numId w:val="0"/>
        </w:numPr>
        <w:spacing w:before="312" w:after="312"/>
        <w:outlineLvl w:val="0"/>
      </w:pPr>
      <w:bookmarkStart w:id="95" w:name="_Toc111304467"/>
      <w:r>
        <w:rPr>
          <w:rFonts w:hint="eastAsia"/>
        </w:rPr>
        <w:t>6.9 焊接衬垫</w:t>
      </w:r>
      <w:bookmarkEnd w:id="95"/>
    </w:p>
    <w:p>
      <w:pPr>
        <w:pStyle w:val="26"/>
        <w:spacing w:line="360" w:lineRule="auto"/>
        <w:ind w:left="0"/>
      </w:pPr>
      <w:r>
        <w:rPr>
          <w:rFonts w:hint="eastAsia"/>
        </w:rPr>
        <w:t>应给出</w:t>
      </w:r>
      <w:r>
        <w:rPr>
          <w:rFonts w:hint="eastAsia" w:hAnsi="宋体"/>
        </w:rPr>
        <w:t>相应</w:t>
      </w:r>
      <w:r>
        <w:rPr>
          <w:rFonts w:hint="eastAsia"/>
        </w:rPr>
        <w:t>的下列信息：</w:t>
      </w:r>
    </w:p>
    <w:p>
      <w:pPr>
        <w:pStyle w:val="26"/>
        <w:spacing w:line="360" w:lineRule="auto"/>
        <w:ind w:left="0"/>
      </w:pPr>
      <w:r>
        <w:rPr>
          <w:rFonts w:hint="eastAsia"/>
        </w:rPr>
        <w:t>——衬垫</w:t>
      </w:r>
      <w:r>
        <w:rPr>
          <w:rFonts w:hint="eastAsia" w:hAnsi="宋体"/>
        </w:rPr>
        <w:t>类型</w:t>
      </w:r>
      <w:r>
        <w:rPr>
          <w:rFonts w:hint="eastAsia"/>
        </w:rPr>
        <w:t>（材料衬垫、气体衬垫、焊剂衬垫等）；</w:t>
      </w:r>
    </w:p>
    <w:p>
      <w:pPr>
        <w:pStyle w:val="26"/>
        <w:spacing w:line="360" w:lineRule="auto"/>
        <w:ind w:left="0"/>
      </w:pPr>
      <w:r>
        <w:rPr>
          <w:rFonts w:hint="eastAsia"/>
        </w:rPr>
        <w:t>——衬垫</w:t>
      </w:r>
      <w:r>
        <w:rPr>
          <w:rFonts w:hint="eastAsia" w:hAnsi="宋体"/>
        </w:rPr>
        <w:t>材料</w:t>
      </w:r>
      <w:r>
        <w:rPr>
          <w:rFonts w:hint="eastAsia"/>
        </w:rPr>
        <w:t>和尺寸；</w:t>
      </w:r>
    </w:p>
    <w:p>
      <w:pPr>
        <w:pStyle w:val="26"/>
        <w:spacing w:line="360" w:lineRule="auto"/>
        <w:ind w:left="0"/>
      </w:pPr>
      <w:r>
        <w:rPr>
          <w:rFonts w:hint="eastAsia"/>
        </w:rPr>
        <w:t>——保护气体的代号（如果有必要，标明供应商与商标）；</w:t>
      </w:r>
    </w:p>
    <w:p>
      <w:pPr>
        <w:pStyle w:val="26"/>
        <w:spacing w:line="360" w:lineRule="auto"/>
        <w:ind w:left="0"/>
      </w:pPr>
      <w:r>
        <w:rPr>
          <w:rFonts w:hint="eastAsia"/>
        </w:rPr>
        <w:t>——保护气流量（如果有要求）；</w:t>
      </w:r>
    </w:p>
    <w:p>
      <w:pPr>
        <w:pStyle w:val="26"/>
        <w:spacing w:line="360" w:lineRule="auto"/>
        <w:ind w:left="0"/>
      </w:pPr>
      <w:r>
        <w:rPr>
          <w:rFonts w:hint="eastAsia"/>
        </w:rPr>
        <w:t>——焊剂材料的种类和型号（如果有必要，标明供应商与商标）。</w:t>
      </w:r>
    </w:p>
    <w:p>
      <w:pPr>
        <w:pStyle w:val="75"/>
        <w:numPr>
          <w:ilvl w:val="0"/>
          <w:numId w:val="0"/>
        </w:numPr>
        <w:spacing w:before="312" w:after="312"/>
        <w:outlineLvl w:val="0"/>
      </w:pPr>
      <w:bookmarkStart w:id="96" w:name="_Toc111304468"/>
      <w:r>
        <w:rPr>
          <w:rFonts w:hint="eastAsia"/>
        </w:rPr>
        <w:t>6.10 填充材料</w:t>
      </w:r>
      <w:bookmarkEnd w:id="96"/>
    </w:p>
    <w:p>
      <w:pPr>
        <w:pStyle w:val="26"/>
        <w:spacing w:line="360" w:lineRule="auto"/>
        <w:ind w:left="0"/>
      </w:pPr>
      <w:r>
        <w:rPr>
          <w:rFonts w:hint="eastAsia"/>
        </w:rPr>
        <w:t>对于填充</w:t>
      </w:r>
      <w:r>
        <w:rPr>
          <w:rFonts w:hint="eastAsia" w:hAnsi="宋体"/>
        </w:rPr>
        <w:t>材料至少</w:t>
      </w:r>
      <w:r>
        <w:rPr>
          <w:rFonts w:hint="eastAsia"/>
        </w:rPr>
        <w:t>应给出以下内容：</w:t>
      </w:r>
    </w:p>
    <w:p>
      <w:pPr>
        <w:pStyle w:val="26"/>
        <w:spacing w:line="360" w:lineRule="auto"/>
        <w:ind w:left="0"/>
      </w:pPr>
      <w:r>
        <w:rPr>
          <w:rFonts w:hint="eastAsia"/>
        </w:rPr>
        <w:t>——填充材料的型号（如果有必要，标明</w:t>
      </w:r>
      <w:bookmarkStart w:id="118" w:name="_GoBack"/>
      <w:bookmarkEnd w:id="118"/>
      <w:r>
        <w:rPr>
          <w:rFonts w:hint="eastAsia"/>
        </w:rPr>
        <w:t>供应商与商标）；</w:t>
      </w:r>
    </w:p>
    <w:p>
      <w:pPr>
        <w:pStyle w:val="26"/>
        <w:spacing w:line="360" w:lineRule="auto"/>
        <w:ind w:left="0"/>
      </w:pPr>
      <w:r>
        <w:rPr>
          <w:rFonts w:hint="eastAsia"/>
        </w:rPr>
        <w:t>——焊丝或焊带的规格。</w:t>
      </w:r>
    </w:p>
    <w:p>
      <w:pPr>
        <w:pStyle w:val="75"/>
        <w:numPr>
          <w:ilvl w:val="0"/>
          <w:numId w:val="0"/>
        </w:numPr>
        <w:spacing w:before="312" w:after="312"/>
        <w:outlineLvl w:val="0"/>
      </w:pPr>
      <w:bookmarkStart w:id="97" w:name="_Toc111304469"/>
      <w:r>
        <w:rPr>
          <w:rFonts w:hint="eastAsia"/>
        </w:rPr>
        <w:t>6.11 焊接设备</w:t>
      </w:r>
      <w:bookmarkEnd w:id="97"/>
    </w:p>
    <w:p>
      <w:pPr>
        <w:pStyle w:val="75"/>
        <w:numPr>
          <w:ilvl w:val="0"/>
          <w:numId w:val="0"/>
        </w:numPr>
        <w:spacing w:before="312" w:after="312"/>
        <w:outlineLvl w:val="0"/>
      </w:pPr>
      <w:r>
        <w:rPr>
          <w:rFonts w:hint="eastAsia"/>
        </w:rPr>
        <w:t>6.11.1 激光焊接设备</w:t>
      </w:r>
    </w:p>
    <w:p>
      <w:pPr>
        <w:pStyle w:val="26"/>
        <w:spacing w:line="360" w:lineRule="auto"/>
        <w:ind w:left="0"/>
      </w:pPr>
      <w:r>
        <w:rPr>
          <w:rFonts w:hint="eastAsia"/>
        </w:rPr>
        <w:t>至少应提供以下信息：</w:t>
      </w:r>
    </w:p>
    <w:p>
      <w:pPr>
        <w:pStyle w:val="26"/>
        <w:spacing w:line="360" w:lineRule="auto"/>
        <w:ind w:left="0"/>
      </w:pPr>
      <w:r>
        <w:rPr>
          <w:rFonts w:hint="eastAsia"/>
        </w:rPr>
        <w:t>——类型（如YAG或者CO</w:t>
      </w:r>
      <w:r>
        <w:rPr>
          <w:rFonts w:hint="eastAsia"/>
          <w:vertAlign w:val="subscript"/>
        </w:rPr>
        <w:t>2</w:t>
      </w:r>
      <w:r>
        <w:rPr>
          <w:rFonts w:hint="eastAsia"/>
        </w:rPr>
        <w:t>激光）、型号、制造商；</w:t>
      </w:r>
    </w:p>
    <w:p>
      <w:pPr>
        <w:pStyle w:val="26"/>
        <w:spacing w:line="360" w:lineRule="auto"/>
        <w:ind w:left="0"/>
      </w:pPr>
      <w:r>
        <w:rPr>
          <w:rFonts w:hint="eastAsia"/>
        </w:rPr>
        <w:t>——额定功率；</w:t>
      </w:r>
    </w:p>
    <w:p>
      <w:pPr>
        <w:pStyle w:val="26"/>
        <w:spacing w:line="360" w:lineRule="auto"/>
        <w:ind w:left="0"/>
      </w:pPr>
      <w:r>
        <w:rPr>
          <w:rFonts w:hint="eastAsia"/>
        </w:rPr>
        <w:t>——连续波或脉冲激光；</w:t>
      </w:r>
    </w:p>
    <w:p>
      <w:pPr>
        <w:pStyle w:val="26"/>
        <w:spacing w:line="360" w:lineRule="auto"/>
        <w:ind w:left="0"/>
      </w:pPr>
      <w:r>
        <w:rPr>
          <w:rFonts w:hint="eastAsia"/>
        </w:rPr>
        <w:t>——光束</w:t>
      </w:r>
      <w:r>
        <w:rPr>
          <w:rFonts w:hint="eastAsia" w:hAnsi="宋体"/>
        </w:rPr>
        <w:t>模式</w:t>
      </w:r>
      <w:r>
        <w:rPr>
          <w:rFonts w:hint="eastAsia"/>
        </w:rPr>
        <w:t>；</w:t>
      </w:r>
    </w:p>
    <w:p>
      <w:pPr>
        <w:pStyle w:val="26"/>
        <w:spacing w:line="360" w:lineRule="auto"/>
        <w:ind w:left="0"/>
      </w:pPr>
      <w:r>
        <w:rPr>
          <w:rFonts w:hint="eastAsia"/>
        </w:rPr>
        <w:t>——波长；</w:t>
      </w:r>
    </w:p>
    <w:p>
      <w:pPr>
        <w:pStyle w:val="26"/>
        <w:spacing w:line="360" w:lineRule="auto"/>
        <w:ind w:left="0"/>
      </w:pPr>
      <w:r>
        <w:rPr>
          <w:rFonts w:hint="eastAsia"/>
        </w:rPr>
        <w:t>——光束</w:t>
      </w:r>
      <w:r>
        <w:rPr>
          <w:rFonts w:hint="eastAsia" w:hAnsi="宋体"/>
        </w:rPr>
        <w:t>偏振</w:t>
      </w:r>
      <w:r>
        <w:rPr>
          <w:rFonts w:hint="eastAsia"/>
        </w:rPr>
        <w:t>及方向；</w:t>
      </w:r>
    </w:p>
    <w:p>
      <w:pPr>
        <w:pStyle w:val="26"/>
        <w:spacing w:line="360" w:lineRule="auto"/>
        <w:ind w:left="0"/>
      </w:pPr>
      <w:r>
        <w:rPr>
          <w:rFonts w:hint="eastAsia"/>
        </w:rPr>
        <w:t>——水冷设备的种类、型号、制造商。</w:t>
      </w:r>
    </w:p>
    <w:p>
      <w:pPr>
        <w:pStyle w:val="26"/>
        <w:spacing w:line="360" w:lineRule="auto"/>
        <w:ind w:left="0"/>
      </w:pPr>
    </w:p>
    <w:p>
      <w:pPr>
        <w:pStyle w:val="75"/>
        <w:numPr>
          <w:ilvl w:val="0"/>
          <w:numId w:val="0"/>
        </w:numPr>
        <w:spacing w:before="312" w:after="312"/>
        <w:outlineLvl w:val="0"/>
      </w:pPr>
      <w:r>
        <w:rPr>
          <w:rFonts w:hint="eastAsia"/>
        </w:rPr>
        <w:t>6.11.2 激光传输及聚焦系统</w:t>
      </w:r>
    </w:p>
    <w:p>
      <w:pPr>
        <w:pStyle w:val="26"/>
        <w:spacing w:line="360" w:lineRule="auto"/>
        <w:ind w:left="0"/>
      </w:pPr>
      <w:r>
        <w:rPr>
          <w:rFonts w:hint="eastAsia"/>
        </w:rPr>
        <w:t>至少应提供以下相关信息：</w:t>
      </w:r>
    </w:p>
    <w:p>
      <w:pPr>
        <w:pStyle w:val="26"/>
        <w:spacing w:line="360" w:lineRule="auto"/>
        <w:ind w:left="0"/>
      </w:pPr>
      <w:r>
        <w:rPr>
          <w:rFonts w:hint="eastAsia"/>
        </w:rPr>
        <w:t>——激光传输</w:t>
      </w:r>
      <w:r>
        <w:rPr>
          <w:rFonts w:hint="eastAsia" w:hAnsi="宋体"/>
        </w:rPr>
        <w:t>方式；</w:t>
      </w:r>
    </w:p>
    <w:p>
      <w:pPr>
        <w:pStyle w:val="26"/>
        <w:spacing w:line="360" w:lineRule="auto"/>
        <w:ind w:left="0"/>
      </w:pPr>
      <w:r>
        <w:rPr>
          <w:rFonts w:hint="eastAsia"/>
        </w:rPr>
        <w:t>——光源到聚焦系统的距离；</w:t>
      </w:r>
    </w:p>
    <w:p>
      <w:pPr>
        <w:pStyle w:val="26"/>
        <w:spacing w:line="360" w:lineRule="auto"/>
        <w:ind w:left="0"/>
      </w:pPr>
      <w:r>
        <w:rPr>
          <w:rFonts w:hint="eastAsia"/>
        </w:rPr>
        <w:t>——聚焦系统入口处的光束直径；</w:t>
      </w:r>
    </w:p>
    <w:p>
      <w:pPr>
        <w:pStyle w:val="26"/>
        <w:spacing w:line="360" w:lineRule="auto"/>
        <w:ind w:left="0"/>
        <w:rPr>
          <w:rFonts w:hAnsi="宋体"/>
        </w:rPr>
      </w:pPr>
      <w:r>
        <w:rPr>
          <w:rFonts w:hint="eastAsia"/>
        </w:rPr>
        <w:t>——光束传输与聚焦</w:t>
      </w:r>
      <w:r>
        <w:rPr>
          <w:rFonts w:hint="eastAsia" w:hAnsi="宋体"/>
        </w:rPr>
        <w:t>系统参数；</w:t>
      </w:r>
    </w:p>
    <w:p>
      <w:pPr>
        <w:pStyle w:val="26"/>
        <w:spacing w:line="360" w:lineRule="auto"/>
        <w:ind w:left="0"/>
      </w:pPr>
      <w:r>
        <w:rPr>
          <w:rFonts w:hint="eastAsia"/>
        </w:rPr>
        <w:t>——焦点</w:t>
      </w:r>
      <w:r>
        <w:rPr>
          <w:rFonts w:hint="eastAsia" w:hAnsi="宋体"/>
        </w:rPr>
        <w:t>光斑</w:t>
      </w:r>
      <w:r>
        <w:rPr>
          <w:rFonts w:hint="eastAsia"/>
        </w:rPr>
        <w:t>尺寸。</w:t>
      </w:r>
    </w:p>
    <w:p>
      <w:pPr>
        <w:pStyle w:val="75"/>
        <w:numPr>
          <w:ilvl w:val="0"/>
          <w:numId w:val="0"/>
        </w:numPr>
        <w:spacing w:before="312" w:after="312"/>
        <w:outlineLvl w:val="0"/>
      </w:pPr>
      <w:r>
        <w:rPr>
          <w:rFonts w:hint="eastAsia"/>
        </w:rPr>
        <w:t>6.11.3弧焊装置</w:t>
      </w:r>
    </w:p>
    <w:p>
      <w:pPr>
        <w:pStyle w:val="26"/>
        <w:spacing w:line="360" w:lineRule="auto"/>
        <w:ind w:left="0"/>
      </w:pPr>
      <w:r>
        <w:rPr>
          <w:rFonts w:hint="eastAsia"/>
        </w:rPr>
        <w:t>至少应提供以下</w:t>
      </w:r>
      <w:r>
        <w:rPr>
          <w:rFonts w:hint="eastAsia" w:hAnsi="宋体"/>
        </w:rPr>
        <w:t>相关</w:t>
      </w:r>
      <w:r>
        <w:rPr>
          <w:rFonts w:hint="eastAsia"/>
        </w:rPr>
        <w:t>信息：</w:t>
      </w:r>
    </w:p>
    <w:p>
      <w:pPr>
        <w:pStyle w:val="26"/>
        <w:spacing w:line="360" w:lineRule="auto"/>
        <w:ind w:left="0"/>
      </w:pPr>
      <w:r>
        <w:rPr>
          <w:rFonts w:hint="eastAsia"/>
        </w:rPr>
        <w:t>——种类、型号</w:t>
      </w:r>
      <w:r>
        <w:rPr>
          <w:rFonts w:hint="eastAsia" w:hAnsi="宋体"/>
        </w:rPr>
        <w:t>以及</w:t>
      </w:r>
      <w:r>
        <w:rPr>
          <w:rFonts w:hint="eastAsia"/>
        </w:rPr>
        <w:t>制造商。</w:t>
      </w:r>
    </w:p>
    <w:p>
      <w:pPr>
        <w:pStyle w:val="75"/>
        <w:numPr>
          <w:ilvl w:val="0"/>
          <w:numId w:val="0"/>
        </w:numPr>
        <w:spacing w:before="312" w:after="312"/>
        <w:outlineLvl w:val="0"/>
      </w:pPr>
      <w:r>
        <w:rPr>
          <w:rFonts w:hint="eastAsia"/>
        </w:rPr>
        <w:t>6.11.4辅助系统</w:t>
      </w:r>
    </w:p>
    <w:p>
      <w:pPr>
        <w:pStyle w:val="26"/>
        <w:spacing w:line="360" w:lineRule="auto"/>
        <w:ind w:left="0"/>
      </w:pPr>
      <w:r>
        <w:rPr>
          <w:rFonts w:hint="eastAsia"/>
        </w:rPr>
        <w:t>应提供以下相关信息：</w:t>
      </w:r>
    </w:p>
    <w:p>
      <w:pPr>
        <w:pStyle w:val="26"/>
        <w:spacing w:line="360" w:lineRule="auto"/>
        <w:ind w:left="0"/>
      </w:pPr>
      <w:r>
        <w:rPr>
          <w:rFonts w:hint="eastAsia"/>
        </w:rPr>
        <w:t>——种类、型号</w:t>
      </w:r>
      <w:r>
        <w:rPr>
          <w:rFonts w:hint="eastAsia" w:hAnsi="宋体"/>
        </w:rPr>
        <w:t>以及</w:t>
      </w:r>
      <w:r>
        <w:rPr>
          <w:rFonts w:hint="eastAsia"/>
        </w:rPr>
        <w:t>制造商；</w:t>
      </w:r>
    </w:p>
    <w:p>
      <w:pPr>
        <w:pStyle w:val="75"/>
        <w:numPr>
          <w:ilvl w:val="0"/>
          <w:numId w:val="0"/>
        </w:numPr>
        <w:spacing w:before="312" w:after="312"/>
        <w:outlineLvl w:val="0"/>
      </w:pPr>
      <w:bookmarkStart w:id="98" w:name="_Toc111304470"/>
      <w:r>
        <w:rPr>
          <w:rFonts w:hint="eastAsia"/>
        </w:rPr>
        <w:t>6.12 焊接参数</w:t>
      </w:r>
      <w:bookmarkEnd w:id="98"/>
    </w:p>
    <w:p>
      <w:pPr>
        <w:pStyle w:val="75"/>
        <w:numPr>
          <w:ilvl w:val="0"/>
          <w:numId w:val="0"/>
        </w:numPr>
        <w:spacing w:before="312" w:after="312"/>
        <w:outlineLvl w:val="0"/>
      </w:pPr>
      <w:r>
        <w:rPr>
          <w:rFonts w:hint="eastAsia"/>
        </w:rPr>
        <w:t>6.12.1 光束工艺参数</w:t>
      </w:r>
    </w:p>
    <w:p>
      <w:pPr>
        <w:pStyle w:val="26"/>
        <w:spacing w:line="360" w:lineRule="auto"/>
        <w:ind w:left="0"/>
      </w:pPr>
      <w:r>
        <w:rPr>
          <w:rFonts w:hint="eastAsia"/>
        </w:rPr>
        <w:t>应提供以下相关</w:t>
      </w:r>
      <w:r>
        <w:rPr>
          <w:rFonts w:hint="eastAsia" w:hAnsi="宋体"/>
        </w:rPr>
        <w:t>信息</w:t>
      </w:r>
      <w:r>
        <w:rPr>
          <w:rFonts w:hint="eastAsia"/>
        </w:rPr>
        <w:t>：</w:t>
      </w:r>
    </w:p>
    <w:p>
      <w:pPr>
        <w:pStyle w:val="26"/>
        <w:spacing w:line="360" w:lineRule="auto"/>
        <w:ind w:left="0"/>
      </w:pPr>
      <w:r>
        <w:rPr>
          <w:rFonts w:hint="eastAsia"/>
        </w:rPr>
        <w:t>——工件表面的激光功率，包括对激光功率测量的技术条件；</w:t>
      </w:r>
    </w:p>
    <w:p>
      <w:pPr>
        <w:pStyle w:val="26"/>
        <w:spacing w:line="360" w:lineRule="auto"/>
        <w:ind w:left="0"/>
        <w:rPr>
          <w:rFonts w:hAnsi="宋体"/>
        </w:rPr>
      </w:pPr>
      <w:r>
        <w:rPr>
          <w:rFonts w:hint="eastAsia"/>
        </w:rPr>
        <w:t>——使用的脉</w:t>
      </w:r>
      <w:r>
        <w:rPr>
          <w:rFonts w:hint="eastAsia" w:hAnsi="宋体"/>
        </w:rPr>
        <w:t>冲模式；</w:t>
      </w:r>
    </w:p>
    <w:p>
      <w:pPr>
        <w:pStyle w:val="26"/>
        <w:spacing w:line="360" w:lineRule="auto"/>
        <w:ind w:left="0"/>
        <w:rPr>
          <w:rFonts w:hAnsi="宋体"/>
        </w:rPr>
      </w:pPr>
      <w:r>
        <w:rPr>
          <w:rFonts w:hint="eastAsia"/>
        </w:rPr>
        <w:t>——</w:t>
      </w:r>
      <w:r>
        <w:rPr>
          <w:rFonts w:hint="eastAsia" w:hAnsi="宋体"/>
        </w:rPr>
        <w:t>峰值功率；</w:t>
      </w:r>
    </w:p>
    <w:p>
      <w:pPr>
        <w:pStyle w:val="26"/>
        <w:spacing w:line="360" w:lineRule="auto"/>
        <w:ind w:left="0"/>
        <w:rPr>
          <w:rFonts w:hAnsi="宋体"/>
        </w:rPr>
      </w:pPr>
      <w:r>
        <w:rPr>
          <w:rFonts w:hint="eastAsia"/>
        </w:rPr>
        <w:t>——</w:t>
      </w:r>
      <w:r>
        <w:rPr>
          <w:rFonts w:hint="eastAsia" w:hAnsi="宋体"/>
        </w:rPr>
        <w:t>频率；</w:t>
      </w:r>
    </w:p>
    <w:p>
      <w:pPr>
        <w:pStyle w:val="26"/>
        <w:spacing w:line="360" w:lineRule="auto"/>
        <w:ind w:left="0"/>
        <w:rPr>
          <w:rFonts w:hAnsi="宋体"/>
        </w:rPr>
      </w:pPr>
      <w:r>
        <w:rPr>
          <w:rFonts w:hint="eastAsia"/>
        </w:rPr>
        <w:t>——</w:t>
      </w:r>
      <w:r>
        <w:rPr>
          <w:rFonts w:hint="eastAsia" w:hAnsi="宋体"/>
        </w:rPr>
        <w:t>脉冲宽度；</w:t>
      </w:r>
    </w:p>
    <w:p>
      <w:pPr>
        <w:pStyle w:val="26"/>
        <w:spacing w:line="360" w:lineRule="auto"/>
        <w:ind w:left="0"/>
        <w:rPr>
          <w:rFonts w:hAnsi="宋体"/>
        </w:rPr>
      </w:pPr>
      <w:r>
        <w:rPr>
          <w:rFonts w:hint="eastAsia"/>
        </w:rPr>
        <w:t>——</w:t>
      </w:r>
      <w:r>
        <w:rPr>
          <w:rFonts w:hint="eastAsia" w:hAnsi="宋体"/>
        </w:rPr>
        <w:t>脉冲形状</w:t>
      </w:r>
      <w:r>
        <w:rPr>
          <w:rFonts w:hint="eastAsia" w:hAnsi="宋体"/>
          <w:color w:val="C00000"/>
        </w:rPr>
        <w:t>。</w:t>
      </w:r>
    </w:p>
    <w:p>
      <w:pPr>
        <w:pStyle w:val="26"/>
        <w:spacing w:line="360" w:lineRule="auto"/>
        <w:ind w:left="0"/>
        <w:rPr>
          <w:rFonts w:hAnsi="宋体"/>
        </w:rPr>
      </w:pPr>
      <w:r>
        <w:rPr>
          <w:rFonts w:hint="eastAsia"/>
        </w:rPr>
        <w:t>——</w:t>
      </w:r>
      <w:r>
        <w:rPr>
          <w:rFonts w:hint="eastAsia" w:hAnsi="宋体"/>
        </w:rPr>
        <w:t>保护气体（如采用）</w:t>
      </w:r>
      <w:r>
        <w:rPr>
          <w:rFonts w:hint="eastAsia" w:hAnsi="宋体"/>
          <w:color w:val="C00000"/>
        </w:rPr>
        <w:t>。</w:t>
      </w:r>
      <w:r>
        <w:rPr>
          <w:rFonts w:hint="eastAsia" w:hAnsi="宋体"/>
        </w:rPr>
        <w:t>包括流量、种类、纯度；</w:t>
      </w:r>
    </w:p>
    <w:p>
      <w:pPr>
        <w:pStyle w:val="26"/>
        <w:spacing w:line="360" w:lineRule="auto"/>
        <w:ind w:left="0"/>
        <w:rPr>
          <w:rFonts w:hAnsi="宋体"/>
        </w:rPr>
      </w:pPr>
      <w:r>
        <w:rPr>
          <w:rFonts w:hint="eastAsia"/>
        </w:rPr>
        <w:t>——</w:t>
      </w:r>
      <w:r>
        <w:rPr>
          <w:rFonts w:hint="eastAsia" w:hAnsi="宋体"/>
        </w:rPr>
        <w:t>功率渐变斜率的详细资料（如采用），包括递增和递减的过程；</w:t>
      </w:r>
    </w:p>
    <w:p>
      <w:pPr>
        <w:pStyle w:val="26"/>
        <w:spacing w:line="360" w:lineRule="auto"/>
        <w:ind w:left="0"/>
        <w:rPr>
          <w:rFonts w:hAnsi="宋体"/>
        </w:rPr>
      </w:pPr>
      <w:r>
        <w:rPr>
          <w:rFonts w:hint="eastAsia"/>
        </w:rPr>
        <w:t>——</w:t>
      </w:r>
      <w:r>
        <w:rPr>
          <w:rFonts w:hint="eastAsia" w:hAnsi="宋体"/>
        </w:rPr>
        <w:t>摆动模式、振幅、频率及停留时间（如采用）。</w:t>
      </w:r>
    </w:p>
    <w:p>
      <w:pPr>
        <w:pStyle w:val="75"/>
        <w:numPr>
          <w:ilvl w:val="0"/>
          <w:numId w:val="0"/>
        </w:numPr>
        <w:spacing w:before="312" w:after="312"/>
        <w:outlineLvl w:val="0"/>
      </w:pPr>
      <w:r>
        <w:rPr>
          <w:rFonts w:hint="eastAsia"/>
        </w:rPr>
        <w:t>6.12.2 电弧工艺参数</w:t>
      </w:r>
    </w:p>
    <w:p>
      <w:pPr>
        <w:pStyle w:val="26"/>
        <w:spacing w:line="360" w:lineRule="auto"/>
        <w:ind w:left="0"/>
        <w:rPr>
          <w:rFonts w:hAnsi="宋体"/>
        </w:rPr>
      </w:pPr>
      <w:r>
        <w:rPr>
          <w:rFonts w:hint="eastAsia" w:hAnsi="宋体"/>
        </w:rPr>
        <w:t>应提供以下相关信息：</w:t>
      </w:r>
    </w:p>
    <w:p>
      <w:pPr>
        <w:pStyle w:val="26"/>
        <w:spacing w:line="360" w:lineRule="auto"/>
        <w:ind w:left="0"/>
        <w:rPr>
          <w:rFonts w:hAnsi="宋体"/>
        </w:rPr>
      </w:pPr>
      <w:r>
        <w:rPr>
          <w:rFonts w:hint="eastAsia"/>
        </w:rPr>
        <w:t>——</w:t>
      </w:r>
      <w:r>
        <w:rPr>
          <w:rFonts w:hint="eastAsia" w:hAnsi="宋体"/>
        </w:rPr>
        <w:t>电流类型（交/直流）和极性；</w:t>
      </w:r>
    </w:p>
    <w:p>
      <w:pPr>
        <w:pStyle w:val="26"/>
        <w:spacing w:line="360" w:lineRule="auto"/>
        <w:ind w:left="0"/>
        <w:rPr>
          <w:rFonts w:hAnsi="宋体"/>
        </w:rPr>
      </w:pPr>
      <w:r>
        <w:rPr>
          <w:rFonts w:hint="eastAsia"/>
        </w:rPr>
        <w:t>——</w:t>
      </w:r>
      <w:r>
        <w:rPr>
          <w:rFonts w:hint="eastAsia" w:hAnsi="宋体"/>
        </w:rPr>
        <w:t>功率渐变斜率的详细细节（如采用），包括递增和递减的过程；</w:t>
      </w:r>
    </w:p>
    <w:p>
      <w:pPr>
        <w:pStyle w:val="26"/>
        <w:spacing w:line="360" w:lineRule="auto"/>
        <w:ind w:left="0"/>
        <w:rPr>
          <w:rFonts w:hAnsi="宋体"/>
        </w:rPr>
      </w:pPr>
      <w:r>
        <w:rPr>
          <w:rFonts w:hint="eastAsia"/>
        </w:rPr>
        <w:t>——</w:t>
      </w:r>
      <w:r>
        <w:rPr>
          <w:rFonts w:hint="eastAsia" w:hAnsi="宋体"/>
        </w:rPr>
        <w:t>脉冲参数，如必要，根据焊接工艺提供功率源协同装置；</w:t>
      </w:r>
    </w:p>
    <w:p>
      <w:pPr>
        <w:pStyle w:val="26"/>
        <w:spacing w:line="360" w:lineRule="auto"/>
        <w:ind w:left="0"/>
        <w:rPr>
          <w:rFonts w:hAnsi="宋体"/>
        </w:rPr>
      </w:pPr>
      <w:r>
        <w:rPr>
          <w:rFonts w:hint="eastAsia"/>
        </w:rPr>
        <w:t>——</w:t>
      </w:r>
      <w:r>
        <w:rPr>
          <w:rFonts w:hint="eastAsia" w:hAnsi="宋体"/>
        </w:rPr>
        <w:t>送丝速度；</w:t>
      </w:r>
    </w:p>
    <w:p>
      <w:pPr>
        <w:pStyle w:val="26"/>
        <w:spacing w:line="360" w:lineRule="auto"/>
        <w:ind w:left="0"/>
        <w:rPr>
          <w:rFonts w:hAnsi="宋体"/>
        </w:rPr>
      </w:pPr>
      <w:r>
        <w:rPr>
          <w:rFonts w:hint="eastAsia"/>
        </w:rPr>
        <w:t>——</w:t>
      </w:r>
      <w:r>
        <w:rPr>
          <w:rFonts w:hint="eastAsia" w:hAnsi="宋体"/>
        </w:rPr>
        <w:t>电流范围；</w:t>
      </w:r>
    </w:p>
    <w:p>
      <w:pPr>
        <w:pStyle w:val="26"/>
        <w:spacing w:line="360" w:lineRule="auto"/>
        <w:ind w:left="0"/>
        <w:rPr>
          <w:rFonts w:hAnsi="宋体"/>
        </w:rPr>
      </w:pPr>
      <w:r>
        <w:rPr>
          <w:rFonts w:hint="eastAsia"/>
        </w:rPr>
        <w:t>——</w:t>
      </w:r>
      <w:r>
        <w:rPr>
          <w:rFonts w:hint="eastAsia" w:hAnsi="宋体"/>
        </w:rPr>
        <w:t>电压范围；</w:t>
      </w:r>
    </w:p>
    <w:p>
      <w:pPr>
        <w:pStyle w:val="26"/>
        <w:spacing w:line="360" w:lineRule="auto"/>
        <w:ind w:left="0"/>
        <w:rPr>
          <w:rFonts w:hAnsi="宋体"/>
        </w:rPr>
      </w:pPr>
      <w:r>
        <w:rPr>
          <w:rFonts w:hint="eastAsia"/>
        </w:rPr>
        <w:t>——</w:t>
      </w:r>
      <w:r>
        <w:rPr>
          <w:rFonts w:hint="eastAsia" w:hAnsi="宋体"/>
        </w:rPr>
        <w:t>保护气体（流量、纯度、种类及喷嘴直径）。</w:t>
      </w:r>
    </w:p>
    <w:p>
      <w:pPr>
        <w:pStyle w:val="75"/>
        <w:numPr>
          <w:ilvl w:val="0"/>
          <w:numId w:val="0"/>
        </w:numPr>
        <w:spacing w:before="312" w:after="312"/>
        <w:outlineLvl w:val="0"/>
      </w:pPr>
      <w:r>
        <w:rPr>
          <w:rFonts w:hint="eastAsia"/>
        </w:rPr>
        <w:t>6.12.3 焊接速度</w:t>
      </w:r>
    </w:p>
    <w:p>
      <w:pPr>
        <w:pStyle w:val="26"/>
        <w:spacing w:line="360" w:lineRule="auto"/>
        <w:ind w:left="0"/>
        <w:rPr>
          <w:rFonts w:hAnsi="宋体"/>
        </w:rPr>
      </w:pPr>
      <w:r>
        <w:rPr>
          <w:rFonts w:hint="eastAsia" w:hAnsi="宋体"/>
        </w:rPr>
        <w:t>应提供以下相关信息：</w:t>
      </w:r>
    </w:p>
    <w:p>
      <w:pPr>
        <w:pStyle w:val="26"/>
        <w:spacing w:line="360" w:lineRule="auto"/>
        <w:ind w:left="0"/>
        <w:rPr>
          <w:rFonts w:hAnsi="宋体"/>
        </w:rPr>
      </w:pPr>
      <w:r>
        <w:rPr>
          <w:rFonts w:hint="eastAsia"/>
        </w:rPr>
        <w:t>——</w:t>
      </w:r>
      <w:r>
        <w:rPr>
          <w:rFonts w:hint="eastAsia" w:hAnsi="宋体"/>
        </w:rPr>
        <w:t>焊接速度；</w:t>
      </w:r>
    </w:p>
    <w:p>
      <w:pPr>
        <w:pStyle w:val="26"/>
        <w:spacing w:line="360" w:lineRule="auto"/>
        <w:ind w:left="0"/>
        <w:rPr>
          <w:rFonts w:hAnsi="宋体"/>
        </w:rPr>
      </w:pPr>
      <w:r>
        <w:rPr>
          <w:rFonts w:hint="eastAsia"/>
        </w:rPr>
        <w:t>——</w:t>
      </w:r>
      <w:r>
        <w:rPr>
          <w:rFonts w:hint="eastAsia" w:hAnsi="宋体"/>
        </w:rPr>
        <w:t>必要时，焊接速度的变化细节。</w:t>
      </w:r>
    </w:p>
    <w:p>
      <w:pPr>
        <w:pStyle w:val="75"/>
        <w:numPr>
          <w:ilvl w:val="0"/>
          <w:numId w:val="0"/>
        </w:numPr>
        <w:spacing w:before="312" w:after="312"/>
        <w:outlineLvl w:val="0"/>
      </w:pPr>
      <w:r>
        <w:rPr>
          <w:rFonts w:hint="eastAsia"/>
        </w:rPr>
        <w:t>6.12.4 几何参数</w:t>
      </w:r>
    </w:p>
    <w:p>
      <w:pPr>
        <w:pStyle w:val="26"/>
        <w:spacing w:line="360" w:lineRule="auto"/>
        <w:ind w:left="0"/>
        <w:rPr>
          <w:rFonts w:hAnsi="宋体"/>
        </w:rPr>
      </w:pPr>
      <w:r>
        <w:rPr>
          <w:rFonts w:hint="eastAsia" w:hAnsi="宋体"/>
        </w:rPr>
        <w:t>应用简图或照片来记录以下参数</w:t>
      </w:r>
    </w:p>
    <w:p>
      <w:pPr>
        <w:pStyle w:val="26"/>
        <w:spacing w:line="360" w:lineRule="auto"/>
        <w:ind w:left="0"/>
      </w:pPr>
      <w:r>
        <w:rPr>
          <w:rFonts w:hint="eastAsia"/>
        </w:rPr>
        <w:t>（1）激光：</w:t>
      </w:r>
    </w:p>
    <w:p>
      <w:pPr>
        <w:pStyle w:val="26"/>
        <w:spacing w:line="360" w:lineRule="auto"/>
        <w:ind w:left="0"/>
      </w:pPr>
      <w:r>
        <w:rPr>
          <w:rFonts w:hint="eastAsia"/>
        </w:rPr>
        <w:t>——焦点位置；</w:t>
      </w:r>
    </w:p>
    <w:p>
      <w:pPr>
        <w:pStyle w:val="26"/>
        <w:spacing w:line="360" w:lineRule="auto"/>
        <w:ind w:left="0"/>
      </w:pPr>
      <w:r>
        <w:rPr>
          <w:rFonts w:hint="eastAsia"/>
        </w:rPr>
        <w:t>——光束位置（工件表面处激光束与焊缝中心线的横向偏移量）；</w:t>
      </w:r>
    </w:p>
    <w:p>
      <w:pPr>
        <w:pStyle w:val="26"/>
        <w:spacing w:line="360" w:lineRule="auto"/>
        <w:ind w:left="0"/>
      </w:pPr>
      <w:r>
        <w:rPr>
          <w:rFonts w:hint="eastAsia"/>
        </w:rPr>
        <w:t>——光束相对于接头和焊接方向的方位（二面角）。</w:t>
      </w:r>
    </w:p>
    <w:p>
      <w:pPr>
        <w:pStyle w:val="26"/>
        <w:spacing w:line="360" w:lineRule="auto"/>
        <w:ind w:left="0"/>
      </w:pPr>
      <w:r>
        <w:rPr>
          <w:rFonts w:hint="eastAsia"/>
        </w:rPr>
        <w:t>（2）电弧/电极：</w:t>
      </w:r>
    </w:p>
    <w:p>
      <w:pPr>
        <w:pStyle w:val="26"/>
        <w:spacing w:line="360" w:lineRule="auto"/>
        <w:ind w:left="0"/>
      </w:pPr>
      <w:r>
        <w:rPr>
          <w:rFonts w:hint="eastAsia"/>
        </w:rPr>
        <w:t>——焊丝干伸长（熔化极）或电弧长度（非熔化极）；</w:t>
      </w:r>
    </w:p>
    <w:p>
      <w:pPr>
        <w:pStyle w:val="26"/>
        <w:spacing w:line="360" w:lineRule="auto"/>
        <w:ind w:left="0"/>
      </w:pPr>
      <w:r>
        <w:rPr>
          <w:rFonts w:hint="eastAsia"/>
        </w:rPr>
        <w:t>——电极位置（工件表面处电极与焊缝中心线的横向偏移量）；</w:t>
      </w:r>
    </w:p>
    <w:p>
      <w:pPr>
        <w:pStyle w:val="26"/>
        <w:spacing w:line="360" w:lineRule="auto"/>
        <w:ind w:left="0"/>
      </w:pPr>
      <w:r>
        <w:rPr>
          <w:rFonts w:hint="eastAsia"/>
        </w:rPr>
        <w:t>——电弧或电极相对于接头和焊接方向的方位（二面角）。</w:t>
      </w:r>
    </w:p>
    <w:p>
      <w:pPr>
        <w:pStyle w:val="26"/>
        <w:spacing w:line="360" w:lineRule="auto"/>
        <w:ind w:left="0"/>
      </w:pPr>
      <w:r>
        <w:rPr>
          <w:rFonts w:hint="eastAsia"/>
        </w:rPr>
        <w:t>（3）复合：</w:t>
      </w:r>
    </w:p>
    <w:p>
      <w:pPr>
        <w:pStyle w:val="26"/>
        <w:spacing w:line="360" w:lineRule="auto"/>
        <w:ind w:left="0"/>
      </w:pPr>
      <w:r>
        <w:rPr>
          <w:rFonts w:hint="eastAsia"/>
        </w:rPr>
        <w:t>——焊接方向（电弧在前或在后）；</w:t>
      </w:r>
    </w:p>
    <w:p>
      <w:pPr>
        <w:pStyle w:val="26"/>
        <w:spacing w:line="360" w:lineRule="auto"/>
        <w:ind w:left="0"/>
      </w:pPr>
      <w:r>
        <w:rPr>
          <w:rFonts w:hint="eastAsia"/>
        </w:rPr>
        <w:t>——光束与电极轴线（工件表面，沿焊缝中心线方向）的距离；</w:t>
      </w:r>
    </w:p>
    <w:p>
      <w:pPr>
        <w:pStyle w:val="26"/>
        <w:spacing w:line="360" w:lineRule="auto"/>
        <w:ind w:left="0"/>
        <w:rPr>
          <w:rFonts w:hAnsi="宋体"/>
        </w:rPr>
      </w:pPr>
      <w:r>
        <w:rPr>
          <w:rFonts w:hint="eastAsia"/>
        </w:rPr>
        <w:t>——光束与电极轴线的夹角。</w:t>
      </w:r>
    </w:p>
    <w:p>
      <w:pPr>
        <w:pStyle w:val="75"/>
        <w:numPr>
          <w:ilvl w:val="0"/>
          <w:numId w:val="0"/>
        </w:numPr>
        <w:spacing w:before="312" w:after="312"/>
        <w:outlineLvl w:val="0"/>
      </w:pPr>
      <w:bookmarkStart w:id="99" w:name="_Toc111304471"/>
      <w:r>
        <w:rPr>
          <w:rFonts w:hint="eastAsia"/>
        </w:rPr>
        <w:t>6.13 预热及焊后热处理</w:t>
      </w:r>
      <w:bookmarkEnd w:id="99"/>
    </w:p>
    <w:p>
      <w:pPr>
        <w:pStyle w:val="26"/>
        <w:spacing w:line="360" w:lineRule="auto"/>
        <w:ind w:left="0"/>
        <w:rPr>
          <w:rFonts w:hAnsi="宋体"/>
        </w:rPr>
      </w:pPr>
      <w:r>
        <w:rPr>
          <w:rFonts w:hint="eastAsia"/>
        </w:rPr>
        <w:t>如</w:t>
      </w:r>
      <w:r>
        <w:rPr>
          <w:rFonts w:hint="eastAsia" w:hAnsi="宋体"/>
        </w:rPr>
        <w:t>果需要预热或焊后热处理，则相应的pWPS和WPS应对预热和焊后热处理的要求进行规定。</w:t>
      </w:r>
    </w:p>
    <w:p>
      <w:pPr>
        <w:pStyle w:val="75"/>
        <w:numPr>
          <w:ilvl w:val="0"/>
          <w:numId w:val="0"/>
        </w:numPr>
        <w:spacing w:before="312" w:after="312"/>
        <w:outlineLvl w:val="0"/>
      </w:pPr>
      <w:r>
        <w:rPr>
          <w:rFonts w:hint="eastAsia"/>
        </w:rPr>
        <w:t>6.13.1 预热温度</w:t>
      </w:r>
    </w:p>
    <w:p>
      <w:pPr>
        <w:pStyle w:val="26"/>
        <w:spacing w:line="360" w:lineRule="auto"/>
        <w:ind w:left="0"/>
        <w:rPr>
          <w:rFonts w:hAnsi="宋体"/>
        </w:rPr>
      </w:pPr>
      <w:r>
        <w:rPr>
          <w:rFonts w:hint="eastAsia"/>
        </w:rPr>
        <w:t>——</w:t>
      </w:r>
      <w:r>
        <w:rPr>
          <w:rFonts w:hint="eastAsia" w:hAnsi="宋体"/>
        </w:rPr>
        <w:t>开始焊接时的预热温度。</w:t>
      </w:r>
    </w:p>
    <w:p>
      <w:pPr>
        <w:pStyle w:val="26"/>
        <w:spacing w:line="360" w:lineRule="auto"/>
        <w:ind w:left="0"/>
        <w:rPr>
          <w:rFonts w:hAnsi="宋体"/>
        </w:rPr>
      </w:pPr>
      <w:r>
        <w:rPr>
          <w:rFonts w:hint="eastAsia"/>
        </w:rPr>
        <w:t>——</w:t>
      </w:r>
      <w:r>
        <w:rPr>
          <w:rFonts w:hint="eastAsia" w:hAnsi="宋体"/>
        </w:rPr>
        <w:t>不需要预热时，应给出焊前工件的最低温度。</w:t>
      </w:r>
    </w:p>
    <w:p>
      <w:pPr>
        <w:pStyle w:val="75"/>
        <w:numPr>
          <w:ilvl w:val="0"/>
          <w:numId w:val="0"/>
        </w:numPr>
        <w:spacing w:before="312" w:after="312"/>
        <w:outlineLvl w:val="0"/>
      </w:pPr>
      <w:r>
        <w:rPr>
          <w:rFonts w:hint="eastAsia"/>
        </w:rPr>
        <w:t>6.13.2 道间温度</w:t>
      </w:r>
    </w:p>
    <w:p>
      <w:pPr>
        <w:pStyle w:val="26"/>
        <w:spacing w:line="360" w:lineRule="auto"/>
        <w:ind w:left="0"/>
        <w:rPr>
          <w:rFonts w:hAnsi="宋体"/>
        </w:rPr>
      </w:pPr>
      <w:r>
        <w:rPr>
          <w:rFonts w:hint="eastAsia" w:hAnsi="宋体"/>
        </w:rPr>
        <w:t>应规定道间温度的上限。</w:t>
      </w:r>
    </w:p>
    <w:p>
      <w:pPr>
        <w:pStyle w:val="75"/>
        <w:numPr>
          <w:ilvl w:val="0"/>
          <w:numId w:val="0"/>
        </w:numPr>
        <w:spacing w:before="312" w:after="312"/>
        <w:outlineLvl w:val="0"/>
      </w:pPr>
      <w:r>
        <w:rPr>
          <w:rFonts w:hint="eastAsia"/>
        </w:rPr>
        <w:t>6.13.3 焊后热处理</w:t>
      </w:r>
    </w:p>
    <w:p>
      <w:pPr>
        <w:pStyle w:val="26"/>
        <w:spacing w:line="360" w:lineRule="auto"/>
        <w:ind w:left="0"/>
      </w:pPr>
      <w:r>
        <w:rPr>
          <w:rFonts w:hint="eastAsia" w:hAnsi="宋体"/>
        </w:rPr>
        <w:t>焊后热处理应根据</w:t>
      </w:r>
      <w:r>
        <w:rPr>
          <w:rFonts w:hint="eastAsia"/>
        </w:rPr>
        <w:t>相关标准和规范确定。</w:t>
      </w:r>
    </w:p>
    <w:p>
      <w:pPr>
        <w:pStyle w:val="75"/>
        <w:numPr>
          <w:ilvl w:val="0"/>
          <w:numId w:val="0"/>
        </w:numPr>
        <w:spacing w:before="312" w:after="312"/>
        <w:outlineLvl w:val="0"/>
      </w:pPr>
      <w:bookmarkStart w:id="100" w:name="_Toc111304472"/>
      <w:r>
        <w:rPr>
          <w:rFonts w:hint="eastAsia"/>
        </w:rPr>
        <w:t>6.14 焊前及焊后操作</w:t>
      </w:r>
      <w:bookmarkEnd w:id="100"/>
    </w:p>
    <w:p>
      <w:pPr>
        <w:pStyle w:val="26"/>
        <w:spacing w:line="360" w:lineRule="auto"/>
        <w:ind w:left="0"/>
      </w:pPr>
      <w:r>
        <w:rPr>
          <w:rFonts w:hint="eastAsia"/>
        </w:rPr>
        <w:t>所有的机械打磨、化学处理及热处理要求应在WPS中做出规定。</w:t>
      </w:r>
    </w:p>
    <w:p>
      <w:pPr>
        <w:pStyle w:val="26"/>
        <w:spacing w:line="360" w:lineRule="auto"/>
        <w:ind w:left="0"/>
      </w:pPr>
    </w:p>
    <w:p>
      <w:pPr>
        <w:pStyle w:val="75"/>
        <w:numPr>
          <w:ilvl w:val="0"/>
          <w:numId w:val="19"/>
        </w:numPr>
        <w:spacing w:before="312" w:after="312"/>
        <w:outlineLvl w:val="0"/>
      </w:pPr>
      <w:bookmarkStart w:id="101" w:name="_Toc111304473"/>
      <w:r>
        <w:rPr>
          <w:rFonts w:hint="eastAsia"/>
        </w:rPr>
        <w:t>焊接工艺试验</w:t>
      </w:r>
      <w:bookmarkEnd w:id="101"/>
    </w:p>
    <w:p>
      <w:pPr>
        <w:pStyle w:val="75"/>
        <w:numPr>
          <w:ilvl w:val="0"/>
          <w:numId w:val="0"/>
        </w:numPr>
        <w:spacing w:before="312" w:after="312"/>
        <w:outlineLvl w:val="0"/>
      </w:pPr>
      <w:bookmarkStart w:id="102" w:name="_Toc111304474"/>
      <w:r>
        <w:rPr>
          <w:rFonts w:hint="eastAsia"/>
        </w:rPr>
        <w:t>7.1 总则</w:t>
      </w:r>
      <w:bookmarkEnd w:id="102"/>
    </w:p>
    <w:p>
      <w:pPr>
        <w:pStyle w:val="26"/>
        <w:spacing w:line="360" w:lineRule="auto"/>
        <w:ind w:left="0"/>
      </w:pPr>
      <w:r>
        <w:rPr>
          <w:rFonts w:hint="eastAsia"/>
        </w:rPr>
        <w:t>试件的</w:t>
      </w:r>
      <w:r>
        <w:rPr>
          <w:rFonts w:hint="eastAsia" w:hAnsi="宋体"/>
        </w:rPr>
        <w:t>焊接</w:t>
      </w:r>
      <w:r>
        <w:rPr>
          <w:rFonts w:hint="eastAsia"/>
        </w:rPr>
        <w:t>和试验应分别按照本文件7.2、7.3和7.4进行。</w:t>
      </w:r>
    </w:p>
    <w:p>
      <w:pPr>
        <w:pStyle w:val="75"/>
        <w:numPr>
          <w:ilvl w:val="0"/>
          <w:numId w:val="0"/>
        </w:numPr>
        <w:spacing w:before="312" w:after="312"/>
        <w:outlineLvl w:val="0"/>
      </w:pPr>
      <w:bookmarkStart w:id="103" w:name="_Toc111304475"/>
      <w:r>
        <w:rPr>
          <w:rFonts w:hint="eastAsia"/>
        </w:rPr>
        <w:t>7.2 试件</w:t>
      </w:r>
      <w:bookmarkEnd w:id="103"/>
    </w:p>
    <w:p>
      <w:pPr>
        <w:pStyle w:val="26"/>
        <w:spacing w:line="360" w:lineRule="auto"/>
        <w:ind w:left="0"/>
      </w:pPr>
      <w:r>
        <w:rPr>
          <w:rFonts w:hint="eastAsia"/>
        </w:rPr>
        <w:t>试件应</w:t>
      </w:r>
      <w:r>
        <w:rPr>
          <w:rFonts w:hint="eastAsia" w:hAnsi="宋体"/>
        </w:rPr>
        <w:t>按照</w:t>
      </w:r>
      <w:r>
        <w:rPr>
          <w:rFonts w:hint="eastAsia"/>
        </w:rPr>
        <w:t>ISO 15614-14:2013第6款的有关规定进行准备。</w:t>
      </w:r>
    </w:p>
    <w:p>
      <w:pPr>
        <w:pStyle w:val="75"/>
        <w:numPr>
          <w:ilvl w:val="0"/>
          <w:numId w:val="0"/>
        </w:numPr>
        <w:spacing w:before="312" w:after="312"/>
        <w:outlineLvl w:val="0"/>
      </w:pPr>
      <w:bookmarkStart w:id="104" w:name="_Toc111304476"/>
      <w:r>
        <w:rPr>
          <w:rFonts w:hint="eastAsia"/>
        </w:rPr>
        <w:t>7.3 无损检测（NDT）</w:t>
      </w:r>
      <w:bookmarkEnd w:id="104"/>
    </w:p>
    <w:p>
      <w:pPr>
        <w:pStyle w:val="26"/>
        <w:spacing w:line="360" w:lineRule="auto"/>
        <w:ind w:left="0"/>
        <w:rPr>
          <w:rFonts w:hAnsi="宋体"/>
        </w:rPr>
      </w:pPr>
      <w:r>
        <w:rPr>
          <w:rFonts w:hint="eastAsia"/>
        </w:rPr>
        <w:t>无损检</w:t>
      </w:r>
      <w:r>
        <w:rPr>
          <w:rFonts w:hint="eastAsia" w:hAnsi="宋体"/>
        </w:rPr>
        <w:t>测应在以下范围内进行：</w:t>
      </w:r>
    </w:p>
    <w:p>
      <w:pPr>
        <w:pStyle w:val="26"/>
        <w:spacing w:line="360" w:lineRule="auto"/>
        <w:ind w:left="0"/>
        <w:rPr>
          <w:rFonts w:hAnsi="宋体"/>
        </w:rPr>
      </w:pPr>
      <w:r>
        <w:rPr>
          <w:rFonts w:hint="eastAsia"/>
        </w:rPr>
        <w:t>——</w:t>
      </w:r>
      <w:r>
        <w:rPr>
          <w:rFonts w:hint="eastAsia" w:hAnsi="宋体"/>
        </w:rPr>
        <w:t>100％目视检测；</w:t>
      </w:r>
    </w:p>
    <w:p>
      <w:pPr>
        <w:pStyle w:val="26"/>
        <w:spacing w:line="360" w:lineRule="auto"/>
        <w:ind w:left="0"/>
        <w:rPr>
          <w:rFonts w:hAnsi="宋体"/>
        </w:rPr>
      </w:pPr>
      <w:r>
        <w:rPr>
          <w:rFonts w:hint="eastAsia"/>
        </w:rPr>
        <w:t>——</w:t>
      </w:r>
      <w:r>
        <w:rPr>
          <w:rFonts w:hint="eastAsia" w:hAnsi="宋体"/>
        </w:rPr>
        <w:t>100％射线检测或超声波检测；</w:t>
      </w:r>
    </w:p>
    <w:p>
      <w:pPr>
        <w:pStyle w:val="26"/>
        <w:spacing w:line="360" w:lineRule="auto"/>
        <w:ind w:left="0"/>
        <w:rPr>
          <w:rFonts w:hAnsi="宋体"/>
        </w:rPr>
      </w:pPr>
      <w:r>
        <w:rPr>
          <w:rFonts w:hint="eastAsia"/>
        </w:rPr>
        <w:t>——</w:t>
      </w:r>
      <w:r>
        <w:rPr>
          <w:rFonts w:hint="eastAsia" w:hAnsi="宋体"/>
        </w:rPr>
        <w:t>100％表面裂纹检测（磁粉检测或渗透检测）。</w:t>
      </w:r>
    </w:p>
    <w:p>
      <w:pPr>
        <w:pStyle w:val="26"/>
        <w:spacing w:line="360" w:lineRule="auto"/>
        <w:ind w:left="0"/>
        <w:rPr>
          <w:rFonts w:hAnsi="宋体"/>
        </w:rPr>
      </w:pPr>
      <w:r>
        <w:rPr>
          <w:rFonts w:hint="eastAsia" w:hAnsi="宋体"/>
        </w:rPr>
        <w:t>除非另有说明，否则常规对接焊缝和角焊缝表面及内部质量通常应符合ISO 12932-2013中质量等级 B 的相关要求。</w:t>
      </w:r>
    </w:p>
    <w:p>
      <w:pPr>
        <w:pStyle w:val="26"/>
        <w:spacing w:line="360" w:lineRule="auto"/>
        <w:ind w:left="0"/>
      </w:pPr>
      <w:r>
        <w:rPr>
          <w:rFonts w:hint="eastAsia" w:hAnsi="宋体"/>
        </w:rPr>
        <w:t>目视检测应特别注意正确的</w:t>
      </w:r>
      <w:r>
        <w:rPr>
          <w:rFonts w:hint="eastAsia"/>
        </w:rPr>
        <w:t>熔深，气孔和杂质以及焊缝外观轮廓。</w:t>
      </w:r>
    </w:p>
    <w:p>
      <w:pPr>
        <w:pStyle w:val="75"/>
        <w:numPr>
          <w:ilvl w:val="0"/>
          <w:numId w:val="0"/>
        </w:numPr>
        <w:spacing w:before="312" w:after="312"/>
        <w:outlineLvl w:val="0"/>
      </w:pPr>
      <w:bookmarkStart w:id="105" w:name="_Toc111304477"/>
      <w:r>
        <w:rPr>
          <w:rFonts w:hint="eastAsia"/>
        </w:rPr>
        <w:t>7.4 破坏性试验</w:t>
      </w:r>
      <w:bookmarkEnd w:id="105"/>
    </w:p>
    <w:p>
      <w:pPr>
        <w:pStyle w:val="26"/>
        <w:spacing w:line="360" w:lineRule="auto"/>
        <w:ind w:left="0"/>
        <w:rPr>
          <w:rFonts w:hAnsi="宋体"/>
        </w:rPr>
      </w:pPr>
      <w:r>
        <w:rPr>
          <w:rFonts w:hint="eastAsia"/>
        </w:rPr>
        <w:t>对于</w:t>
      </w:r>
      <w:r>
        <w:rPr>
          <w:rFonts w:hint="eastAsia" w:hAnsi="宋体"/>
        </w:rPr>
        <w:t>对接焊缝，有以下相关试验（检测方法参考</w:t>
      </w:r>
      <w:r>
        <w:rPr>
          <w:rFonts w:hAnsi="宋体"/>
        </w:rPr>
        <w:t>CCS</w:t>
      </w:r>
      <w:r>
        <w:rPr>
          <w:rFonts w:hint="eastAsia" w:hAnsi="宋体"/>
        </w:rPr>
        <w:t xml:space="preserve"> 材料与焊接规范）：</w:t>
      </w:r>
    </w:p>
    <w:p>
      <w:pPr>
        <w:pStyle w:val="26"/>
        <w:spacing w:line="360" w:lineRule="auto"/>
        <w:ind w:left="0"/>
        <w:rPr>
          <w:rFonts w:hAnsi="宋体"/>
        </w:rPr>
      </w:pPr>
      <w:r>
        <w:rPr>
          <w:rFonts w:hint="eastAsia"/>
        </w:rPr>
        <w:t>——</w:t>
      </w:r>
      <w:r>
        <w:rPr>
          <w:rFonts w:hint="eastAsia" w:hAnsi="宋体"/>
        </w:rPr>
        <w:t>拉伸试验；</w:t>
      </w:r>
    </w:p>
    <w:p>
      <w:pPr>
        <w:pStyle w:val="26"/>
        <w:spacing w:line="360" w:lineRule="auto"/>
        <w:ind w:left="0"/>
        <w:rPr>
          <w:rFonts w:hAnsi="宋体"/>
        </w:rPr>
      </w:pPr>
      <w:r>
        <w:rPr>
          <w:rFonts w:hint="eastAsia"/>
        </w:rPr>
        <w:t>——</w:t>
      </w:r>
      <w:r>
        <w:rPr>
          <w:rFonts w:hint="eastAsia" w:hAnsi="宋体"/>
        </w:rPr>
        <w:t>弯曲试验；</w:t>
      </w:r>
    </w:p>
    <w:p>
      <w:pPr>
        <w:pStyle w:val="26"/>
        <w:spacing w:line="360" w:lineRule="auto"/>
        <w:ind w:left="0"/>
        <w:rPr>
          <w:rFonts w:hAnsi="宋体"/>
        </w:rPr>
      </w:pPr>
      <w:r>
        <w:rPr>
          <w:rFonts w:hint="eastAsia"/>
        </w:rPr>
        <w:t>——</w:t>
      </w:r>
      <w:r>
        <w:rPr>
          <w:rFonts w:hint="eastAsia" w:hAnsi="宋体"/>
        </w:rPr>
        <w:t>冲击试验；</w:t>
      </w:r>
    </w:p>
    <w:p>
      <w:pPr>
        <w:pStyle w:val="26"/>
        <w:spacing w:line="360" w:lineRule="auto"/>
        <w:ind w:left="0"/>
        <w:rPr>
          <w:rFonts w:hAnsi="宋体"/>
        </w:rPr>
      </w:pPr>
      <w:r>
        <w:rPr>
          <w:rFonts w:hint="eastAsia"/>
        </w:rPr>
        <w:t>——</w:t>
      </w:r>
      <w:r>
        <w:rPr>
          <w:rFonts w:hint="eastAsia" w:hAnsi="宋体"/>
        </w:rPr>
        <w:t>宏观断面试验；</w:t>
      </w:r>
    </w:p>
    <w:p>
      <w:pPr>
        <w:pStyle w:val="26"/>
        <w:spacing w:line="360" w:lineRule="auto"/>
        <w:ind w:left="0"/>
        <w:rPr>
          <w:rFonts w:hAnsi="宋体"/>
        </w:rPr>
      </w:pPr>
      <w:r>
        <w:rPr>
          <w:rFonts w:hint="eastAsia"/>
        </w:rPr>
        <w:t>——</w:t>
      </w:r>
      <w:r>
        <w:rPr>
          <w:rFonts w:hint="eastAsia" w:hAnsi="宋体"/>
        </w:rPr>
        <w:t>硬度试验。</w:t>
      </w:r>
    </w:p>
    <w:p>
      <w:pPr>
        <w:pStyle w:val="26"/>
        <w:spacing w:line="360" w:lineRule="auto"/>
        <w:ind w:left="0"/>
        <w:rPr>
          <w:rFonts w:hAnsi="宋体"/>
        </w:rPr>
      </w:pPr>
      <w:r>
        <w:rPr>
          <w:rFonts w:hint="eastAsia" w:hAnsi="宋体"/>
        </w:rPr>
        <w:t>在宏观断面上，可能会出现尖锐转变。如有疑问，必须在试验期间测试这种几何形状的疲劳效果。</w:t>
      </w:r>
    </w:p>
    <w:p>
      <w:pPr>
        <w:pStyle w:val="26"/>
        <w:spacing w:line="360" w:lineRule="auto"/>
        <w:ind w:left="0" w:firstLine="0" w:firstLineChars="0"/>
        <w:rPr>
          <w:rFonts w:hAnsi="宋体"/>
        </w:rPr>
      </w:pPr>
      <w:r>
        <w:rPr>
          <w:rFonts w:hint="eastAsia" w:hAnsi="宋体"/>
        </w:rPr>
        <w:t>在任何情况下，在目视检测过程中，必须使用认可的宏观部分作为生产焊缝几何形状合格的参考。</w:t>
      </w:r>
    </w:p>
    <w:p>
      <w:pPr>
        <w:pStyle w:val="26"/>
        <w:spacing w:line="360" w:lineRule="auto"/>
        <w:ind w:left="0"/>
        <w:rPr>
          <w:rFonts w:hAnsi="宋体"/>
        </w:rPr>
      </w:pPr>
      <w:r>
        <w:rPr>
          <w:rFonts w:hint="eastAsia" w:hAnsi="宋体"/>
        </w:rPr>
        <w:t>对于角焊缝，有以下相关试验：</w:t>
      </w:r>
    </w:p>
    <w:p>
      <w:pPr>
        <w:pStyle w:val="26"/>
        <w:spacing w:line="360" w:lineRule="auto"/>
        <w:ind w:left="0"/>
        <w:rPr>
          <w:rFonts w:hAnsi="宋体"/>
        </w:rPr>
      </w:pPr>
      <w:r>
        <w:rPr>
          <w:rFonts w:hint="eastAsia"/>
        </w:rPr>
        <w:t>——</w:t>
      </w:r>
      <w:r>
        <w:rPr>
          <w:rFonts w:hint="eastAsia" w:hAnsi="宋体"/>
        </w:rPr>
        <w:t>宏观断面试验；</w:t>
      </w:r>
    </w:p>
    <w:p>
      <w:pPr>
        <w:pStyle w:val="26"/>
        <w:spacing w:line="360" w:lineRule="auto"/>
        <w:ind w:left="0"/>
        <w:rPr>
          <w:rFonts w:hAnsi="宋体"/>
        </w:rPr>
      </w:pPr>
      <w:r>
        <w:rPr>
          <w:rFonts w:hint="eastAsia"/>
        </w:rPr>
        <w:t>——</w:t>
      </w:r>
      <w:r>
        <w:rPr>
          <w:rFonts w:hint="eastAsia" w:hAnsi="宋体"/>
        </w:rPr>
        <w:t>硬度试验；</w:t>
      </w:r>
    </w:p>
    <w:p>
      <w:pPr>
        <w:pStyle w:val="26"/>
        <w:spacing w:line="360" w:lineRule="auto"/>
        <w:ind w:left="0"/>
        <w:rPr>
          <w:rFonts w:hAnsi="宋体"/>
        </w:rPr>
      </w:pPr>
      <w:r>
        <w:rPr>
          <w:rFonts w:hint="eastAsia"/>
        </w:rPr>
        <w:t>——</w:t>
      </w:r>
      <w:r>
        <w:rPr>
          <w:rFonts w:hint="eastAsia" w:hAnsi="宋体"/>
        </w:rPr>
        <w:t>破断试验；</w:t>
      </w:r>
    </w:p>
    <w:p>
      <w:pPr>
        <w:pStyle w:val="75"/>
        <w:numPr>
          <w:ilvl w:val="0"/>
          <w:numId w:val="0"/>
        </w:numPr>
        <w:spacing w:before="312" w:after="312"/>
        <w:outlineLvl w:val="0"/>
      </w:pPr>
      <w:bookmarkStart w:id="106" w:name="_Toc111304478"/>
      <w:r>
        <w:rPr>
          <w:rFonts w:hint="eastAsia"/>
        </w:rPr>
        <w:t>7.5 认可范围（基本变量）</w:t>
      </w:r>
      <w:bookmarkEnd w:id="106"/>
    </w:p>
    <w:p>
      <w:pPr>
        <w:pStyle w:val="26"/>
        <w:spacing w:line="360" w:lineRule="auto"/>
        <w:ind w:left="0"/>
        <w:rPr>
          <w:rFonts w:hAnsi="宋体"/>
        </w:rPr>
      </w:pPr>
      <w:r>
        <w:rPr>
          <w:rFonts w:hint="eastAsia" w:hAnsi="宋体"/>
        </w:rPr>
        <w:t>焊接工艺试验结束后，应根据以下规定的认可范围制定焊接工艺规程(WPS)，任何超出范围的变化，应要求进行新的焊接工艺试验。</w:t>
      </w:r>
    </w:p>
    <w:p>
      <w:pPr>
        <w:pStyle w:val="26"/>
        <w:spacing w:line="360" w:lineRule="auto"/>
        <w:ind w:left="0"/>
        <w:rPr>
          <w:rFonts w:hAnsi="宋体"/>
        </w:rPr>
      </w:pPr>
      <w:r>
        <w:rPr>
          <w:rFonts w:hint="eastAsia" w:hAnsi="宋体"/>
        </w:rPr>
        <w:t>母材：对于EH36及以下的普通强度钢和高强度钢，对于每种强度等级，焊接工艺被认为适用于所试验的相同和较低韧性等级的钢。对于每一种韧性等级，焊接程序都被认为适用于所试验的相同和较低的强度水平。</w:t>
      </w:r>
    </w:p>
    <w:p>
      <w:pPr>
        <w:pStyle w:val="26"/>
        <w:spacing w:line="360" w:lineRule="auto"/>
        <w:ind w:left="0"/>
        <w:rPr>
          <w:rFonts w:hAnsi="宋体"/>
        </w:rPr>
      </w:pPr>
      <w:r>
        <w:rPr>
          <w:rFonts w:hint="eastAsia" w:hAnsi="宋体"/>
        </w:rPr>
        <w:t>材料厚度：对于全熔透对接接头和T型接头（单面和双面焊接），试板厚度(对接接头的板厚和T型接头的腹板厚度)小于5mm时，适用范围仅限于试验厚度；试板厚度大于等于5mm时，适用范围为试验厚度的0.8倍至1倍。</w:t>
      </w:r>
    </w:p>
    <w:p>
      <w:pPr>
        <w:pStyle w:val="26"/>
        <w:spacing w:line="360" w:lineRule="auto"/>
        <w:ind w:left="0"/>
        <w:rPr>
          <w:rFonts w:hAnsi="宋体"/>
        </w:rPr>
      </w:pPr>
      <w:r>
        <w:rPr>
          <w:rFonts w:hint="eastAsia" w:hAnsi="宋体"/>
        </w:rPr>
        <w:t>焊接工艺：每种机械化程序都应独立合格（全机械化和自动化）。激光电弧复合焊接与其他焊接方法组合焊的评定应通过组合焊试验进行。不允许使用组合焊工艺覆盖独立的焊接工艺。</w:t>
      </w:r>
    </w:p>
    <w:p>
      <w:pPr>
        <w:pStyle w:val="26"/>
        <w:spacing w:line="360" w:lineRule="auto"/>
        <w:ind w:left="0"/>
        <w:rPr>
          <w:rFonts w:hAnsi="宋体"/>
        </w:rPr>
      </w:pPr>
      <w:r>
        <w:rPr>
          <w:rFonts w:hint="eastAsia" w:hAnsi="宋体"/>
        </w:rPr>
        <w:t>焊接位置：位置的覆盖范围仅限定于试验位置。接头和焊缝类型：对任何一种类型的接头或焊缝的焊接仅限定试验的接头或焊缝类型。</w:t>
      </w:r>
    </w:p>
    <w:p>
      <w:pPr>
        <w:pStyle w:val="26"/>
        <w:spacing w:line="360" w:lineRule="auto"/>
        <w:ind w:left="0"/>
        <w:rPr>
          <w:rFonts w:hAnsi="宋体"/>
        </w:rPr>
      </w:pPr>
      <w:r>
        <w:rPr>
          <w:rFonts w:hint="eastAsia" w:hAnsi="宋体"/>
        </w:rPr>
        <w:t>焊道层数：合格的 WPS 的焊道层数仅限于与试验层数相同。</w:t>
      </w:r>
    </w:p>
    <w:p>
      <w:pPr>
        <w:pStyle w:val="26"/>
        <w:spacing w:line="360" w:lineRule="auto"/>
        <w:ind w:left="0"/>
        <w:rPr>
          <w:rFonts w:hAnsi="宋体"/>
        </w:rPr>
      </w:pPr>
      <w:r>
        <w:rPr>
          <w:rFonts w:hint="eastAsia" w:hAnsi="宋体"/>
        </w:rPr>
        <w:t>焊接材料：应用仅限于使用试验的焊材品牌和焊材规格的组合。当焊材品牌和焊材规格发生任何变化时，需重新进行焊接试验。</w:t>
      </w:r>
    </w:p>
    <w:p>
      <w:pPr>
        <w:pStyle w:val="26"/>
        <w:spacing w:line="360" w:lineRule="auto"/>
        <w:ind w:left="0"/>
        <w:rPr>
          <w:rFonts w:hAnsi="宋体"/>
        </w:rPr>
      </w:pPr>
      <w:r>
        <w:rPr>
          <w:rFonts w:hint="eastAsia" w:hAnsi="宋体"/>
        </w:rPr>
        <w:t>电流和极性的类型：对焊接工艺试验中使用的电流[交流(AC)、直流(DC)、脉冲电流]和极性的类型应进行确定。</w:t>
      </w:r>
    </w:p>
    <w:p>
      <w:pPr>
        <w:pStyle w:val="26"/>
        <w:spacing w:line="360" w:lineRule="auto"/>
        <w:ind w:left="0"/>
        <w:rPr>
          <w:rFonts w:hAnsi="宋体"/>
        </w:rPr>
      </w:pPr>
      <w:r>
        <w:rPr>
          <w:rFonts w:hint="eastAsia" w:hAnsi="宋体"/>
        </w:rPr>
        <w:t>预热及层间温度:当需要预热时，预热温度的下限为焊接工艺试验开始时使用的预热温度。层间温度的上限是焊接工艺试验中的最大层间温度。</w:t>
      </w:r>
    </w:p>
    <w:p>
      <w:pPr>
        <w:pStyle w:val="26"/>
        <w:spacing w:line="360" w:lineRule="auto"/>
        <w:ind w:left="0"/>
        <w:rPr>
          <w:rFonts w:hAnsi="宋体"/>
        </w:rPr>
      </w:pPr>
      <w:r>
        <w:rPr>
          <w:rFonts w:hint="eastAsia" w:hAnsi="宋体"/>
        </w:rPr>
        <w:t>焊后热处理：沉淀硬化材料焊接前的初始热处理条件不允许变化。不允许增加或者去除热处理。</w:t>
      </w:r>
    </w:p>
    <w:p>
      <w:pPr>
        <w:pStyle w:val="26"/>
        <w:spacing w:line="360" w:lineRule="auto"/>
        <w:ind w:left="0"/>
        <w:rPr>
          <w:rFonts w:hAnsi="宋体"/>
        </w:rPr>
      </w:pPr>
      <w:r>
        <w:rPr>
          <w:rFonts w:hint="eastAsia" w:hAnsi="宋体"/>
        </w:rPr>
        <w:t>热输入：热输入量的适用范围为焊接工艺试验时使用的值的±15%，热输入的计算公式如下：</w:t>
      </w:r>
    </w:p>
    <w:p>
      <w:pPr>
        <w:pStyle w:val="26"/>
        <w:spacing w:line="360" w:lineRule="auto"/>
        <w:ind w:left="0"/>
        <w:jc w:val="center"/>
      </w:pPr>
      <w:bookmarkStart w:id="107" w:name="_Toc111304479"/>
      <w:r>
        <w:drawing>
          <wp:inline distT="0" distB="0" distL="114300" distR="114300">
            <wp:extent cx="1895475" cy="20955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895475" cy="209550"/>
                    </a:xfrm>
                    <a:prstGeom prst="rect">
                      <a:avLst/>
                    </a:prstGeom>
                    <a:noFill/>
                    <a:ln>
                      <a:noFill/>
                    </a:ln>
                  </pic:spPr>
                </pic:pic>
              </a:graphicData>
            </a:graphic>
          </wp:inline>
        </w:drawing>
      </w:r>
    </w:p>
    <w:p>
      <w:pPr>
        <w:pStyle w:val="26"/>
        <w:spacing w:line="360" w:lineRule="auto"/>
        <w:ind w:left="0"/>
        <w:rPr>
          <w:rFonts w:hAnsi="宋体"/>
        </w:rPr>
      </w:pPr>
      <w:r>
        <w:rPr>
          <w:rFonts w:hint="eastAsia" w:hAnsi="宋体"/>
        </w:rPr>
        <w:t>公式中：</w:t>
      </w:r>
    </w:p>
    <w:p>
      <w:pPr>
        <w:pStyle w:val="26"/>
        <w:spacing w:line="360" w:lineRule="auto"/>
        <w:ind w:left="0"/>
        <w:rPr>
          <w:rFonts w:hAnsi="宋体"/>
        </w:rPr>
      </w:pPr>
      <w:r>
        <w:rPr>
          <w:rFonts w:hint="eastAsia" w:hAnsi="宋体"/>
        </w:rPr>
        <w:t>Q</w:t>
      </w:r>
      <w:r>
        <w:rPr>
          <w:rFonts w:hint="eastAsia" w:hAnsi="宋体"/>
          <w:vertAlign w:val="subscript"/>
        </w:rPr>
        <w:t>nom</w:t>
      </w:r>
      <w:r>
        <w:rPr>
          <w:rFonts w:hint="eastAsia" w:hAnsi="宋体"/>
        </w:rPr>
        <w:t>：热输入,单位为千焦/毫米；</w:t>
      </w:r>
    </w:p>
    <w:p>
      <w:pPr>
        <w:pStyle w:val="26"/>
        <w:spacing w:line="360" w:lineRule="auto"/>
        <w:ind w:left="0"/>
        <w:rPr>
          <w:rFonts w:hAnsi="宋体"/>
        </w:rPr>
      </w:pPr>
      <w:r>
        <w:rPr>
          <w:rFonts w:hint="eastAsia" w:hAnsi="宋体"/>
        </w:rPr>
        <w:t>P：激光功率，单位为千瓦；</w:t>
      </w:r>
    </w:p>
    <w:p>
      <w:pPr>
        <w:pStyle w:val="26"/>
        <w:spacing w:line="360" w:lineRule="auto"/>
        <w:ind w:left="0"/>
        <w:rPr>
          <w:rFonts w:hAnsi="宋体"/>
        </w:rPr>
      </w:pPr>
      <w:r>
        <w:rPr>
          <w:rFonts w:hint="eastAsia" w:hAnsi="宋体"/>
        </w:rPr>
        <w:t>U：电弧电压，测量时尽可能接近电弧，单位为伏特；</w:t>
      </w:r>
    </w:p>
    <w:p>
      <w:pPr>
        <w:pStyle w:val="26"/>
        <w:spacing w:line="360" w:lineRule="auto"/>
        <w:ind w:left="0"/>
        <w:rPr>
          <w:rFonts w:hAnsi="宋体"/>
        </w:rPr>
      </w:pPr>
      <w:r>
        <w:rPr>
          <w:rFonts w:hint="eastAsia" w:hAnsi="宋体"/>
        </w:rPr>
        <w:t>I：焊接电流，单位为安培；</w:t>
      </w:r>
    </w:p>
    <w:p>
      <w:pPr>
        <w:pStyle w:val="26"/>
        <w:spacing w:line="360" w:lineRule="auto"/>
        <w:ind w:left="0"/>
        <w:rPr>
          <w:rFonts w:hAnsi="宋体"/>
        </w:rPr>
      </w:pPr>
      <w:r>
        <w:t>V：焊接速度，单位为毫米/秒。</w:t>
      </w:r>
    </w:p>
    <w:p>
      <w:pPr>
        <w:pStyle w:val="75"/>
        <w:numPr>
          <w:ilvl w:val="0"/>
          <w:numId w:val="0"/>
        </w:numPr>
        <w:spacing w:before="312" w:after="312"/>
        <w:outlineLvl w:val="0"/>
      </w:pPr>
      <w:r>
        <w:rPr>
          <w:rFonts w:hint="eastAsia"/>
        </w:rPr>
        <w:t>7.6 焊接工艺评定记录（WPQR）</w:t>
      </w:r>
      <w:bookmarkEnd w:id="107"/>
    </w:p>
    <w:p>
      <w:pPr>
        <w:pStyle w:val="26"/>
        <w:spacing w:line="360" w:lineRule="auto"/>
        <w:ind w:left="0"/>
        <w:rPr>
          <w:rFonts w:hAnsi="宋体"/>
          <w:strike/>
        </w:rPr>
      </w:pPr>
      <w:r>
        <w:rPr>
          <w:rFonts w:hint="eastAsia" w:hAnsi="宋体"/>
        </w:rPr>
        <w:t>WPQR 是评估每个焊接试件（包括重新试验）结果的说明。</w:t>
      </w:r>
      <w:r>
        <w:rPr>
          <w:rFonts w:hint="eastAsia"/>
        </w:rPr>
        <w:t>ISO 15609-6:2019</w:t>
      </w:r>
      <w:r>
        <w:rPr>
          <w:rFonts w:hint="eastAsia" w:hAnsi="宋体"/>
        </w:rPr>
        <w:t>中为WPS列出的相关项目也应与本文件7.4要求所拒绝的任何特性的细节一起包括在内。如果没有发现不合格的特性或不合格的试验结果，则详细说明焊接工艺试件结果的WPQR是合格的。</w:t>
      </w:r>
    </w:p>
    <w:p>
      <w:pPr>
        <w:pStyle w:val="75"/>
        <w:numPr>
          <w:ilvl w:val="0"/>
          <w:numId w:val="0"/>
        </w:numPr>
        <w:spacing w:before="312" w:after="312"/>
        <w:outlineLvl w:val="0"/>
      </w:pPr>
      <w:bookmarkStart w:id="108" w:name="_Toc111304480"/>
      <w:r>
        <w:rPr>
          <w:rFonts w:hint="eastAsia"/>
        </w:rPr>
        <w:t>7.7 表面状态</w:t>
      </w:r>
      <w:bookmarkEnd w:id="108"/>
    </w:p>
    <w:p>
      <w:pPr>
        <w:pStyle w:val="26"/>
        <w:spacing w:line="360" w:lineRule="auto"/>
        <w:ind w:left="0"/>
        <w:rPr>
          <w:rFonts w:hAnsi="宋体"/>
        </w:rPr>
      </w:pPr>
      <w:r>
        <w:rPr>
          <w:rFonts w:hint="eastAsia" w:hAnsi="宋体"/>
        </w:rPr>
        <w:t>关于角焊缝，钢板表面去除底漆，以免产生气孔和飞溅，使焊接过程不稳定。</w:t>
      </w:r>
    </w:p>
    <w:p>
      <w:pPr>
        <w:pStyle w:val="75"/>
        <w:numPr>
          <w:ilvl w:val="0"/>
          <w:numId w:val="0"/>
        </w:numPr>
        <w:spacing w:before="312" w:after="312"/>
        <w:outlineLvl w:val="0"/>
      </w:pPr>
      <w:bookmarkStart w:id="109" w:name="_Toc111304481"/>
      <w:r>
        <w:rPr>
          <w:rFonts w:hint="eastAsia"/>
        </w:rPr>
        <w:t>7.8 定位焊</w:t>
      </w:r>
      <w:bookmarkEnd w:id="109"/>
    </w:p>
    <w:p>
      <w:pPr>
        <w:pStyle w:val="26"/>
        <w:spacing w:line="360" w:lineRule="auto"/>
        <w:ind w:left="0"/>
        <w:rPr>
          <w:strike/>
        </w:rPr>
      </w:pPr>
      <w:r>
        <w:rPr>
          <w:rFonts w:hint="eastAsia" w:hAnsi="宋体"/>
        </w:rPr>
        <w:t>激光电弧复合焊接如需要特殊的定位焊工艺。通常使用通过激光束焊接进行的定位焊接。</w:t>
      </w:r>
    </w:p>
    <w:p>
      <w:pPr>
        <w:pStyle w:val="75"/>
        <w:numPr>
          <w:ilvl w:val="0"/>
          <w:numId w:val="0"/>
        </w:numPr>
        <w:spacing w:before="312" w:after="312"/>
        <w:outlineLvl w:val="0"/>
      </w:pPr>
      <w:bookmarkStart w:id="110" w:name="_Toc111304482"/>
    </w:p>
    <w:p>
      <w:pPr>
        <w:pStyle w:val="75"/>
        <w:numPr>
          <w:ilvl w:val="0"/>
          <w:numId w:val="19"/>
        </w:numPr>
        <w:spacing w:before="312" w:after="312"/>
        <w:outlineLvl w:val="0"/>
      </w:pPr>
      <w:r>
        <w:rPr>
          <w:rFonts w:hint="eastAsia"/>
        </w:rPr>
        <w:t>激光电弧复合焊接设备监控</w:t>
      </w:r>
      <w:bookmarkEnd w:id="110"/>
    </w:p>
    <w:p>
      <w:pPr>
        <w:pStyle w:val="75"/>
        <w:numPr>
          <w:ilvl w:val="0"/>
          <w:numId w:val="0"/>
        </w:numPr>
        <w:spacing w:before="312" w:after="312"/>
        <w:outlineLvl w:val="0"/>
      </w:pPr>
      <w:bookmarkStart w:id="111" w:name="_Toc111304484"/>
      <w:r>
        <w:rPr>
          <w:rFonts w:hint="eastAsia"/>
        </w:rPr>
        <w:t>8.1 常规设备的维护和检查</w:t>
      </w:r>
      <w:bookmarkEnd w:id="111"/>
    </w:p>
    <w:p>
      <w:pPr>
        <w:pStyle w:val="26"/>
        <w:spacing w:line="360" w:lineRule="auto"/>
        <w:ind w:left="0"/>
      </w:pPr>
      <w:bookmarkStart w:id="112" w:name="_Toc111304485"/>
      <w:r>
        <w:rPr>
          <w:rFonts w:hint="eastAsia"/>
        </w:rPr>
        <w:t>夹紧系统、定位系统、铣刀等机械部件应当定期进行检查和维护，焊缝跟踪系统应进行充分维护，并应保持传感器的清洁。</w:t>
      </w:r>
    </w:p>
    <w:p>
      <w:pPr>
        <w:pStyle w:val="26"/>
        <w:spacing w:line="360" w:lineRule="auto"/>
        <w:ind w:left="0"/>
      </w:pPr>
      <w:r>
        <w:rPr>
          <w:rFonts w:hint="eastAsia"/>
        </w:rPr>
        <w:t>常规焊接设备也应定期检查，测量仪器要定期校准。</w:t>
      </w:r>
    </w:p>
    <w:p>
      <w:pPr>
        <w:pStyle w:val="75"/>
        <w:numPr>
          <w:ilvl w:val="0"/>
          <w:numId w:val="0"/>
        </w:numPr>
        <w:spacing w:before="312" w:after="312"/>
        <w:outlineLvl w:val="0"/>
      </w:pPr>
      <w:r>
        <w:rPr>
          <w:rFonts w:hint="eastAsia"/>
        </w:rPr>
        <w:t>8.2 激光束参数的检查和测量</w:t>
      </w:r>
      <w:bookmarkEnd w:id="112"/>
    </w:p>
    <w:p>
      <w:pPr>
        <w:pStyle w:val="26"/>
        <w:spacing w:line="360" w:lineRule="auto"/>
        <w:ind w:left="0"/>
      </w:pPr>
      <w:bookmarkStart w:id="113" w:name="_Toc111304486"/>
      <w:r>
        <w:rPr>
          <w:rFonts w:hint="eastAsia"/>
        </w:rPr>
        <w:t>为了获得可接受且可靠的复合焊接工艺，应将激光束的性能保持在规定的范围内。</w:t>
      </w:r>
    </w:p>
    <w:p>
      <w:pPr>
        <w:pStyle w:val="26"/>
        <w:spacing w:line="360" w:lineRule="auto"/>
        <w:ind w:left="0"/>
      </w:pPr>
      <w:r>
        <w:rPr>
          <w:rFonts w:hint="eastAsia"/>
        </w:rPr>
        <w:t>应使用指定的设备定期测量激光束参数。获得的数据应存储在数据库中，并应支持操作员调整和进行设置。主要参数如下：</w:t>
      </w:r>
    </w:p>
    <w:p>
      <w:pPr>
        <w:pStyle w:val="26"/>
        <w:spacing w:line="360" w:lineRule="auto"/>
        <w:ind w:left="0"/>
      </w:pPr>
      <w:r>
        <w:rPr>
          <w:rFonts w:hint="eastAsia"/>
        </w:rPr>
        <w:t>——光束直径；</w:t>
      </w:r>
    </w:p>
    <w:p>
      <w:pPr>
        <w:pStyle w:val="26"/>
        <w:spacing w:line="360" w:lineRule="auto"/>
        <w:ind w:left="0"/>
      </w:pPr>
      <w:r>
        <w:rPr>
          <w:rFonts w:hint="eastAsia"/>
        </w:rPr>
        <w:t>——激光功率和功率分配；</w:t>
      </w:r>
    </w:p>
    <w:p>
      <w:pPr>
        <w:pStyle w:val="26"/>
        <w:spacing w:line="360" w:lineRule="auto"/>
        <w:ind w:left="0"/>
      </w:pPr>
      <w:r>
        <w:rPr>
          <w:rFonts w:hint="eastAsia"/>
        </w:rPr>
        <w:t>——光学元件和/或激光枪头的温度；</w:t>
      </w:r>
    </w:p>
    <w:p>
      <w:pPr>
        <w:pStyle w:val="26"/>
        <w:spacing w:line="360" w:lineRule="auto"/>
        <w:ind w:left="0"/>
      </w:pPr>
      <w:r>
        <w:rPr>
          <w:rFonts w:hint="eastAsia"/>
        </w:rPr>
        <w:t>——镜片的清洁度；</w:t>
      </w:r>
    </w:p>
    <w:p>
      <w:pPr>
        <w:pStyle w:val="26"/>
        <w:spacing w:line="360" w:lineRule="auto"/>
        <w:ind w:left="0"/>
      </w:pPr>
      <w:r>
        <w:rPr>
          <w:rFonts w:hint="eastAsia"/>
        </w:rPr>
        <w:t>——焦距；</w:t>
      </w:r>
    </w:p>
    <w:p>
      <w:pPr>
        <w:pStyle w:val="26"/>
        <w:spacing w:line="360" w:lineRule="auto"/>
        <w:ind w:left="0"/>
      </w:pPr>
      <w:r>
        <w:rPr>
          <w:rFonts w:hint="eastAsia"/>
        </w:rPr>
        <w:t>——焦点位置；</w:t>
      </w:r>
    </w:p>
    <w:p>
      <w:pPr>
        <w:pStyle w:val="26"/>
        <w:spacing w:line="360" w:lineRule="auto"/>
        <w:ind w:left="0"/>
      </w:pPr>
      <w:r>
        <w:rPr>
          <w:rFonts w:hint="eastAsia"/>
        </w:rPr>
        <w:t>——其他测量和检查。</w:t>
      </w:r>
    </w:p>
    <w:p>
      <w:pPr>
        <w:pStyle w:val="75"/>
        <w:numPr>
          <w:ilvl w:val="0"/>
          <w:numId w:val="0"/>
        </w:numPr>
        <w:spacing w:before="312" w:after="312"/>
        <w:outlineLvl w:val="0"/>
      </w:pPr>
      <w:r>
        <w:rPr>
          <w:rFonts w:hint="eastAsia"/>
        </w:rPr>
        <w:t>8.3 焊接参数控制</w:t>
      </w:r>
      <w:bookmarkEnd w:id="113"/>
    </w:p>
    <w:p>
      <w:pPr>
        <w:pStyle w:val="26"/>
        <w:spacing w:line="360" w:lineRule="auto"/>
        <w:ind w:left="0"/>
      </w:pPr>
      <w:r>
        <w:rPr>
          <w:rFonts w:hint="eastAsia"/>
        </w:rPr>
        <w:t>所有焊接参数都应存储在数据库中，并自动传输到机器控制系统。预设参数取决于焊接配置（厚度、接缝准备、间隙等），应在WPS中进行说明。</w:t>
      </w:r>
    </w:p>
    <w:p>
      <w:pPr>
        <w:pStyle w:val="26"/>
        <w:spacing w:line="360" w:lineRule="auto"/>
        <w:ind w:left="0"/>
      </w:pPr>
      <w:r>
        <w:rPr>
          <w:rFonts w:hint="eastAsia"/>
        </w:rPr>
        <w:t>如果一个或多个参数接近预设极限，系统将会警示；如果焊接参数达到或超过限制，则焊接过程将由控制单元自动停止。</w:t>
      </w:r>
    </w:p>
    <w:p>
      <w:pPr>
        <w:pStyle w:val="160"/>
        <w:tabs>
          <w:tab w:val="left" w:pos="377"/>
        </w:tabs>
        <w:spacing w:before="43"/>
        <w:ind w:left="112" w:firstLine="1260"/>
        <w:rPr>
          <w:rFonts w:ascii="宋体" w:eastAsia="宋体"/>
          <w:sz w:val="21"/>
          <w:lang w:eastAsia="zh-CN"/>
        </w:rPr>
      </w:pPr>
    </w:p>
    <w:p>
      <w:pPr>
        <w:pStyle w:val="75"/>
        <w:numPr>
          <w:ilvl w:val="0"/>
          <w:numId w:val="19"/>
        </w:numPr>
        <w:spacing w:before="312" w:after="312"/>
        <w:outlineLvl w:val="0"/>
      </w:pPr>
      <w:bookmarkStart w:id="114" w:name="_Toc111304487"/>
      <w:r>
        <w:rPr>
          <w:rFonts w:hint="eastAsia"/>
        </w:rPr>
        <w:t>生产质量控制</w:t>
      </w:r>
      <w:bookmarkEnd w:id="114"/>
    </w:p>
    <w:p>
      <w:pPr>
        <w:pStyle w:val="75"/>
        <w:numPr>
          <w:ilvl w:val="0"/>
          <w:numId w:val="0"/>
        </w:numPr>
        <w:spacing w:before="312" w:after="312"/>
        <w:outlineLvl w:val="0"/>
      </w:pPr>
      <w:bookmarkStart w:id="115" w:name="_Toc111304488"/>
      <w:r>
        <w:rPr>
          <w:rFonts w:hint="eastAsia"/>
        </w:rPr>
        <w:t>9.1 无损检测（NDT）</w:t>
      </w:r>
      <w:bookmarkEnd w:id="115"/>
    </w:p>
    <w:p>
      <w:pPr>
        <w:pStyle w:val="26"/>
        <w:spacing w:line="360" w:lineRule="auto"/>
        <w:ind w:left="0"/>
      </w:pPr>
      <w:r>
        <w:rPr>
          <w:rFonts w:hint="eastAsia"/>
        </w:rPr>
        <w:t>无损检测应按照技术协议指定的无损检测工艺进行。</w:t>
      </w:r>
    </w:p>
    <w:p>
      <w:pPr>
        <w:pStyle w:val="26"/>
        <w:spacing w:line="360" w:lineRule="auto"/>
        <w:ind w:left="0"/>
      </w:pPr>
      <w:r>
        <w:rPr>
          <w:rFonts w:hint="eastAsia"/>
        </w:rPr>
        <w:t>除非另有规定，目视检测、射线检测、超声波检测和磁粉检测的接收标准为ISO 12932-2013 C级。</w:t>
      </w:r>
    </w:p>
    <w:p>
      <w:pPr>
        <w:pStyle w:val="75"/>
        <w:numPr>
          <w:ilvl w:val="0"/>
          <w:numId w:val="0"/>
        </w:numPr>
        <w:spacing w:before="312" w:after="312"/>
        <w:outlineLvl w:val="0"/>
      </w:pPr>
      <w:bookmarkStart w:id="116" w:name="_Toc111304489"/>
      <w:r>
        <w:rPr>
          <w:rFonts w:hint="eastAsia"/>
        </w:rPr>
        <w:t>9.2 返修</w:t>
      </w:r>
      <w:bookmarkEnd w:id="116"/>
    </w:p>
    <w:p>
      <w:pPr>
        <w:pStyle w:val="26"/>
        <w:spacing w:line="360" w:lineRule="auto"/>
        <w:ind w:left="0"/>
      </w:pPr>
      <w:r>
        <w:rPr>
          <w:rFonts w:hint="eastAsia"/>
        </w:rPr>
        <w:t>不满足标准等级要求的焊缝，可以根据等级要求通过常规焊接方法进行修复。为了保证质量，应采取以下措施：</w:t>
      </w:r>
    </w:p>
    <w:p>
      <w:pPr>
        <w:pStyle w:val="26"/>
        <w:spacing w:line="360" w:lineRule="auto"/>
        <w:ind w:left="0"/>
      </w:pPr>
      <w:r>
        <w:rPr>
          <w:rFonts w:hint="eastAsia"/>
        </w:rPr>
        <w:t>——使用本文所述检测方法检查焊缝质量；</w:t>
      </w:r>
    </w:p>
    <w:p>
      <w:pPr>
        <w:pStyle w:val="26"/>
        <w:spacing w:line="360" w:lineRule="auto"/>
        <w:ind w:left="0"/>
      </w:pPr>
      <w:r>
        <w:rPr>
          <w:rFonts w:hint="eastAsia"/>
        </w:rPr>
        <w:t>——焊缝缺陷部位标记；</w:t>
      </w:r>
    </w:p>
    <w:p>
      <w:pPr>
        <w:pStyle w:val="26"/>
        <w:spacing w:line="360" w:lineRule="auto"/>
        <w:ind w:left="0"/>
      </w:pPr>
      <w:r>
        <w:rPr>
          <w:rFonts w:hint="eastAsia"/>
        </w:rPr>
        <w:t>——缺陷去除；</w:t>
      </w:r>
    </w:p>
    <w:p>
      <w:pPr>
        <w:pStyle w:val="26"/>
        <w:spacing w:line="360" w:lineRule="auto"/>
        <w:ind w:left="0"/>
      </w:pPr>
      <w:r>
        <w:rPr>
          <w:rFonts w:hint="eastAsia"/>
        </w:rPr>
        <w:t>——常规焊缝修补；</w:t>
      </w:r>
    </w:p>
    <w:p>
      <w:pPr>
        <w:pStyle w:val="26"/>
        <w:spacing w:line="360" w:lineRule="auto"/>
        <w:ind w:left="0"/>
      </w:pPr>
      <w:r>
        <w:rPr>
          <w:rFonts w:hint="eastAsia"/>
        </w:rPr>
        <w:t>——缺陷修补部位进行无损检测。</w:t>
      </w:r>
    </w:p>
    <w:p>
      <w:pPr>
        <w:pStyle w:val="11"/>
        <w:spacing w:before="37" w:line="268" w:lineRule="auto"/>
        <w:ind w:left="112" w:firstLine="1050"/>
        <w:rPr>
          <w:rFonts w:ascii="宋体" w:eastAsia="宋体"/>
          <w:lang w:eastAsia="zh-CN"/>
        </w:rPr>
      </w:pPr>
    </w:p>
    <w:p>
      <w:pPr>
        <w:pStyle w:val="75"/>
        <w:numPr>
          <w:ilvl w:val="0"/>
          <w:numId w:val="19"/>
        </w:numPr>
        <w:spacing w:before="312" w:after="312"/>
        <w:outlineLvl w:val="0"/>
      </w:pPr>
      <w:bookmarkStart w:id="117" w:name="_Toc111304490"/>
      <w:r>
        <w:rPr>
          <w:rFonts w:hint="eastAsia"/>
        </w:rPr>
        <w:t>防止激光辐射的危害</w:t>
      </w:r>
      <w:bookmarkEnd w:id="117"/>
    </w:p>
    <w:p>
      <w:pPr>
        <w:pStyle w:val="26"/>
        <w:spacing w:line="360" w:lineRule="auto"/>
        <w:ind w:left="0"/>
      </w:pPr>
      <w:r>
        <w:rPr>
          <w:rFonts w:hint="eastAsia"/>
        </w:rPr>
        <w:t>EN 60825-1:2014标准（5）规定了MPE值，该值代表眼睛或皮肤无伤害可暴露的最大激光辐射水平。如果有潜在的人眼暴露在MPE等级以上的危险，则应使用护目镜。在标准EN 207（6）:2017和EN 208（7）:2009中给出了用于生产和激光维修加工目的安全护目镜的测试，标记和推荐选择作出了规定。</w:t>
      </w:r>
    </w:p>
    <w:p>
      <w:pPr>
        <w:pStyle w:val="26"/>
        <w:spacing w:line="360" w:lineRule="auto"/>
        <w:ind w:left="0"/>
      </w:pPr>
      <w:r>
        <w:rPr>
          <w:rFonts w:hint="eastAsia"/>
        </w:rPr>
        <w:t>直接或间接可以看到激光焊接或相关光源的位置的人员，应始终佩戴适合该特定激光的护目镜。</w:t>
      </w:r>
    </w:p>
    <w:bookmarkEnd w:id="69"/>
    <w:bookmarkEnd w:id="70"/>
    <w:bookmarkEnd w:id="71"/>
    <w:bookmarkEnd w:id="72"/>
    <w:bookmarkEnd w:id="73"/>
    <w:bookmarkEnd w:id="74"/>
    <w:bookmarkEnd w:id="75"/>
    <w:bookmarkEnd w:id="76"/>
    <w:bookmarkEnd w:id="77"/>
    <w:bookmarkEnd w:id="78"/>
    <w:p>
      <w:pPr>
        <w:pStyle w:val="26"/>
        <w:spacing w:line="360" w:lineRule="auto"/>
        <w:ind w:left="0" w:firstLine="2730" w:firstLineChars="1300"/>
      </w:pPr>
    </w:p>
    <w:sectPr>
      <w:headerReference r:id="rId7" w:type="default"/>
      <w:footerReference r:id="rId9" w:type="default"/>
      <w:headerReference r:id="rId8" w:type="even"/>
      <w:footerReference r:id="rId10" w:type="even"/>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left"/>
      <w:rPr>
        <w:rFonts w:ascii="等线" w:hAnsi="等线" w:eastAsia="等线"/>
      </w:rPr>
    </w:pPr>
    <w:r>
      <w:rPr>
        <w:rFonts w:ascii="等线" w:hAnsi="等线" w:eastAsia="等线"/>
      </w:rPr>
      <w:fldChar w:fldCharType="begin"/>
    </w:r>
    <w:r>
      <w:rPr>
        <w:rFonts w:ascii="等线" w:hAnsi="等线" w:eastAsia="等线"/>
      </w:rPr>
      <w:instrText xml:space="preserve"> PAGE   \* MERGEFORMAT </w:instrText>
    </w:r>
    <w:r>
      <w:rPr>
        <w:rFonts w:ascii="等线" w:hAnsi="等线" w:eastAsia="等线"/>
      </w:rPr>
      <w:fldChar w:fldCharType="separate"/>
    </w:r>
    <w:r>
      <w:rPr>
        <w:rFonts w:ascii="等线" w:hAnsi="等线" w:eastAsia="等线"/>
        <w:lang w:val="zh-CN"/>
      </w:rPr>
      <w:t>II</w:t>
    </w:r>
    <w:r>
      <w:rPr>
        <w:rFonts w:ascii="等线" w:hAnsi="等线" w:eastAsia="等线"/>
      </w:rPr>
      <w:fldChar w:fldCharType="end"/>
    </w:r>
  </w:p>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63360" behindDoc="1" locked="0" layoutInCell="1" allowOverlap="1">
              <wp:simplePos x="0" y="0"/>
              <wp:positionH relativeFrom="page">
                <wp:posOffset>12618085</wp:posOffset>
              </wp:positionH>
              <wp:positionV relativeFrom="page">
                <wp:posOffset>18929350</wp:posOffset>
              </wp:positionV>
              <wp:extent cx="114935" cy="262890"/>
              <wp:effectExtent l="0" t="0" r="0" b="0"/>
              <wp:wrapNone/>
              <wp:docPr id="58" name="Shape 58"/>
              <wp:cNvGraphicFramePr/>
              <a:graphic xmlns:a="http://schemas.openxmlformats.org/drawingml/2006/main">
                <a:graphicData uri="http://schemas.microsoft.com/office/word/2010/wordprocessingShape">
                  <wps:wsp>
                    <wps:cNvSpPr txBox="1"/>
                    <wps:spPr>
                      <a:xfrm>
                        <a:off x="0" y="0"/>
                        <a:ext cx="114935" cy="262890"/>
                      </a:xfrm>
                      <a:prstGeom prst="rect">
                        <a:avLst/>
                      </a:prstGeom>
                      <a:noFill/>
                      <a:ln>
                        <a:noFill/>
                      </a:ln>
                      <a:effectLst/>
                    </wps:spPr>
                    <wps:txbx>
                      <w:txbxContent>
                        <w:p>
                          <w:pPr>
                            <w:pStyle w:val="102"/>
                            <w:ind w:left="0"/>
                            <w:jc w:val="left"/>
                            <w:rPr>
                              <w:sz w:val="36"/>
                              <w:szCs w:val="36"/>
                            </w:rPr>
                          </w:pPr>
                          <w:r>
                            <w:fldChar w:fldCharType="begin"/>
                          </w:r>
                          <w:r>
                            <w:instrText xml:space="preserve"> PAGE \* MERGEFORMAT </w:instrText>
                          </w:r>
                          <w:r>
                            <w:fldChar w:fldCharType="separate"/>
                          </w:r>
                          <w:r>
                            <w:rPr>
                              <w:rFonts w:ascii="Times New Roman" w:hAnsi="Times New Roman" w:eastAsia="Times New Roman" w:cs="Times New Roman"/>
                              <w:b/>
                              <w:bCs/>
                              <w:color w:val="000000"/>
                              <w:sz w:val="36"/>
                              <w:szCs w:val="36"/>
                              <w:lang w:val="zh-TW" w:eastAsia="zh-TW" w:bidi="zh-TW"/>
                            </w:rPr>
                            <w:t>7</w:t>
                          </w:r>
                          <w:r>
                            <w:rPr>
                              <w:rFonts w:ascii="Times New Roman" w:hAnsi="Times New Roman" w:eastAsia="Times New Roman" w:cs="Times New Roman"/>
                              <w:b/>
                              <w:bCs/>
                              <w:color w:val="000000"/>
                              <w:sz w:val="36"/>
                              <w:szCs w:val="36"/>
                              <w:lang w:val="zh-TW" w:eastAsia="zh-TW" w:bidi="zh-TW"/>
                            </w:rPr>
                            <w:fldChar w:fldCharType="end"/>
                          </w:r>
                        </w:p>
                      </w:txbxContent>
                    </wps:txbx>
                    <wps:bodyPr vert="horz" wrap="none" lIns="0" tIns="0" rIns="0" bIns="0" anchor="t">
                      <a:spAutoFit/>
                    </wps:bodyPr>
                  </wps:wsp>
                </a:graphicData>
              </a:graphic>
            </wp:anchor>
          </w:drawing>
        </mc:Choice>
        <mc:Fallback>
          <w:pict>
            <v:shape id="Shape 58" o:spid="_x0000_s1026" o:spt="202" type="#_x0000_t202" style="position:absolute;left:0pt;margin-left:993.55pt;margin-top:1490.5pt;height:20.7pt;width:9.05pt;mso-position-horizontal-relative:page;mso-position-vertical-relative:page;mso-wrap-style:none;z-index:-251653120;mso-width-relative:page;mso-height-relative:page;" filled="f" stroked="f" coordsize="21600,21600" o:gfxdata="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XI2L/ZAAAADwEAAA8AAAAAAAAAAQAgAAAAIgAAAGRycy9k&#10;b3ducmV2LnhtbFBLAQIUABQAAAAIAIdO4kAGvkPbyAEAAK4DAAAOAAAAAAAAAAEAIAAAACgBAABk&#10;cnMvZTJvRG9jLnhtbFBLBQYAAAAABgAGAFkBAABiBQAAAAA=&#10;">
              <v:fill on="f" focussize="0,0"/>
              <v:stroke on="f"/>
              <v:imagedata o:title=""/>
              <o:lock v:ext="edit" aspectratio="f"/>
              <v:textbox inset="0mm,0mm,0mm,0mm" style="mso-fit-shape-to-text:t;">
                <w:txbxContent>
                  <w:p>
                    <w:pPr>
                      <w:pStyle w:val="102"/>
                      <w:ind w:left="0"/>
                      <w:jc w:val="left"/>
                      <w:rPr>
                        <w:sz w:val="36"/>
                        <w:szCs w:val="36"/>
                      </w:rPr>
                    </w:pPr>
                    <w:r>
                      <w:fldChar w:fldCharType="begin"/>
                    </w:r>
                    <w:r>
                      <w:instrText xml:space="preserve"> PAGE \* MERGEFORMAT </w:instrText>
                    </w:r>
                    <w:r>
                      <w:fldChar w:fldCharType="separate"/>
                    </w:r>
                    <w:r>
                      <w:rPr>
                        <w:rFonts w:ascii="Times New Roman" w:hAnsi="Times New Roman" w:eastAsia="Times New Roman" w:cs="Times New Roman"/>
                        <w:b/>
                        <w:bCs/>
                        <w:color w:val="000000"/>
                        <w:sz w:val="36"/>
                        <w:szCs w:val="36"/>
                        <w:lang w:val="zh-TW" w:eastAsia="zh-TW" w:bidi="zh-TW"/>
                      </w:rPr>
                      <w:t>7</w:t>
                    </w:r>
                    <w:r>
                      <w:rPr>
                        <w:rFonts w:ascii="Times New Roman" w:hAnsi="Times New Roman" w:eastAsia="Times New Roman" w:cs="Times New Roman"/>
                        <w:b/>
                        <w:bCs/>
                        <w:color w:val="000000"/>
                        <w:sz w:val="36"/>
                        <w:szCs w:val="36"/>
                        <w:lang w:val="zh-TW" w:eastAsia="zh-TW" w:bidi="zh-TW"/>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61312" behindDoc="1" locked="0" layoutInCell="1" allowOverlap="1">
              <wp:simplePos x="0" y="0"/>
              <wp:positionH relativeFrom="page">
                <wp:posOffset>1677035</wp:posOffset>
              </wp:positionH>
              <wp:positionV relativeFrom="page">
                <wp:posOffset>18967450</wp:posOffset>
              </wp:positionV>
              <wp:extent cx="114935" cy="262890"/>
              <wp:effectExtent l="0" t="0" r="0" b="0"/>
              <wp:wrapNone/>
              <wp:docPr id="62" name="Shape 62"/>
              <wp:cNvGraphicFramePr/>
              <a:graphic xmlns:a="http://schemas.openxmlformats.org/drawingml/2006/main">
                <a:graphicData uri="http://schemas.microsoft.com/office/word/2010/wordprocessingShape">
                  <wps:wsp>
                    <wps:cNvSpPr txBox="1"/>
                    <wps:spPr>
                      <a:xfrm>
                        <a:off x="0" y="0"/>
                        <a:ext cx="114935" cy="262890"/>
                      </a:xfrm>
                      <a:prstGeom prst="rect">
                        <a:avLst/>
                      </a:prstGeom>
                      <a:noFill/>
                      <a:ln>
                        <a:noFill/>
                      </a:ln>
                      <a:effectLst/>
                    </wps:spPr>
                    <wps:txbx>
                      <w:txbxContent>
                        <w:p>
                          <w:pPr>
                            <w:pStyle w:val="102"/>
                            <w:ind w:left="0"/>
                            <w:jc w:val="left"/>
                            <w:rPr>
                              <w:sz w:val="36"/>
                              <w:szCs w:val="36"/>
                            </w:rPr>
                          </w:pPr>
                          <w:r>
                            <w:fldChar w:fldCharType="begin"/>
                          </w:r>
                          <w:r>
                            <w:instrText xml:space="preserve"> PAGE \* MERGEFORMAT </w:instrText>
                          </w:r>
                          <w:r>
                            <w:fldChar w:fldCharType="separate"/>
                          </w:r>
                          <w:r>
                            <w:rPr>
                              <w:rFonts w:ascii="Times New Roman" w:hAnsi="Times New Roman" w:eastAsia="Times New Roman" w:cs="Times New Roman"/>
                              <w:b/>
                              <w:bCs/>
                              <w:color w:val="000000"/>
                              <w:sz w:val="36"/>
                              <w:szCs w:val="36"/>
                              <w:lang w:val="zh-TW" w:eastAsia="zh-TW" w:bidi="zh-TW"/>
                            </w:rPr>
                            <w:t>12</w:t>
                          </w:r>
                          <w:r>
                            <w:rPr>
                              <w:rFonts w:ascii="Times New Roman" w:hAnsi="Times New Roman" w:eastAsia="Times New Roman" w:cs="Times New Roman"/>
                              <w:b/>
                              <w:bCs/>
                              <w:color w:val="000000"/>
                              <w:sz w:val="36"/>
                              <w:szCs w:val="36"/>
                              <w:lang w:val="zh-TW" w:eastAsia="zh-TW" w:bidi="zh-TW"/>
                            </w:rPr>
                            <w:fldChar w:fldCharType="end"/>
                          </w:r>
                        </w:p>
                      </w:txbxContent>
                    </wps:txbx>
                    <wps:bodyPr vert="horz" wrap="none" lIns="0" tIns="0" rIns="0" bIns="0" anchor="t">
                      <a:spAutoFit/>
                    </wps:bodyPr>
                  </wps:wsp>
                </a:graphicData>
              </a:graphic>
            </wp:anchor>
          </w:drawing>
        </mc:Choice>
        <mc:Fallback>
          <w:pict>
            <v:shape id="Shape 62" o:spid="_x0000_s1026" o:spt="202" type="#_x0000_t202" style="position:absolute;left:0pt;margin-left:132.05pt;margin-top:1493.5pt;height:20.7pt;width:9.05pt;mso-position-horizontal-relative:page;mso-position-vertical-relative:page;mso-wrap-style:none;z-index:-251655168;mso-width-relative:page;mso-height-relative:page;" filled="f" stroked="f" coordsize="21600,21600" o:gfxdata="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6UpNE2QAAAA0BAAAPAAAAAAAAAAEAIAAAACIAAABkcnMv&#10;ZG93bnJldi54bWxQSwECFAAUAAAACACHTuJA+EqaockBAACuAwAADgAAAAAAAAABACAAAAAoAQAA&#10;ZHJzL2Uyb0RvYy54bWxQSwUGAAAAAAYABgBZAQAAYwUAAAAA&#10;">
              <v:fill on="f" focussize="0,0"/>
              <v:stroke on="f"/>
              <v:imagedata o:title=""/>
              <o:lock v:ext="edit" aspectratio="f"/>
              <v:textbox inset="0mm,0mm,0mm,0mm" style="mso-fit-shape-to-text:t;">
                <w:txbxContent>
                  <w:p>
                    <w:pPr>
                      <w:pStyle w:val="102"/>
                      <w:ind w:left="0"/>
                      <w:jc w:val="left"/>
                      <w:rPr>
                        <w:sz w:val="36"/>
                        <w:szCs w:val="36"/>
                      </w:rPr>
                    </w:pPr>
                    <w:r>
                      <w:fldChar w:fldCharType="begin"/>
                    </w:r>
                    <w:r>
                      <w:instrText xml:space="preserve"> PAGE \* MERGEFORMAT </w:instrText>
                    </w:r>
                    <w:r>
                      <w:fldChar w:fldCharType="separate"/>
                    </w:r>
                    <w:r>
                      <w:rPr>
                        <w:rFonts w:ascii="Times New Roman" w:hAnsi="Times New Roman" w:eastAsia="Times New Roman" w:cs="Times New Roman"/>
                        <w:b/>
                        <w:bCs/>
                        <w:color w:val="000000"/>
                        <w:sz w:val="36"/>
                        <w:szCs w:val="36"/>
                        <w:lang w:val="zh-TW" w:eastAsia="zh-TW" w:bidi="zh-TW"/>
                      </w:rPr>
                      <w:t>12</w:t>
                    </w:r>
                    <w:r>
                      <w:rPr>
                        <w:rFonts w:ascii="Times New Roman" w:hAnsi="Times New Roman" w:eastAsia="Times New Roman" w:cs="Times New Roman"/>
                        <w:b/>
                        <w:bCs/>
                        <w:color w:val="000000"/>
                        <w:sz w:val="36"/>
                        <w:szCs w:val="36"/>
                        <w:lang w:val="zh-TW" w:eastAsia="zh-TW" w:bidi="zh-TW"/>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Fonts w:ascii="黑体" w:eastAsia="黑体"/>
        <w:kern w:val="0"/>
        <w:sz w:val="21"/>
        <w:szCs w:val="21"/>
      </w:rPr>
      <w:t>T/CSM22—2022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0"/>
    </w:pPr>
    <w:r>
      <w:t xml:space="preserve">T/CSM </w:t>
    </w:r>
    <w:r>
      <w:rPr>
        <w:rFonts w:hint="eastAsia"/>
        <w:color w:val="FF0000"/>
      </w:rPr>
      <w:t>××××</w:t>
    </w:r>
    <w:r>
      <w:t>—2022</w:t>
    </w:r>
  </w:p>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60288" behindDoc="1" locked="0" layoutInCell="1" allowOverlap="1">
              <wp:simplePos x="0" y="0"/>
              <wp:positionH relativeFrom="page">
                <wp:posOffset>10776585</wp:posOffset>
              </wp:positionH>
              <wp:positionV relativeFrom="page">
                <wp:posOffset>984250</wp:posOffset>
              </wp:positionV>
              <wp:extent cx="2136775" cy="306705"/>
              <wp:effectExtent l="0" t="0" r="0" b="0"/>
              <wp:wrapNone/>
              <wp:docPr id="56" name="Shape 56"/>
              <wp:cNvGraphicFramePr/>
              <a:graphic xmlns:a="http://schemas.openxmlformats.org/drawingml/2006/main">
                <a:graphicData uri="http://schemas.microsoft.com/office/word/2010/wordprocessingShape">
                  <wps:wsp>
                    <wps:cNvSpPr txBox="1"/>
                    <wps:spPr>
                      <a:xfrm>
                        <a:off x="0" y="0"/>
                        <a:ext cx="2136775" cy="306705"/>
                      </a:xfrm>
                      <a:prstGeom prst="rect">
                        <a:avLst/>
                      </a:prstGeom>
                      <a:noFill/>
                      <a:ln>
                        <a:noFill/>
                      </a:ln>
                      <a:effectLst/>
                    </wps:spPr>
                    <wps:txbx>
                      <w:txbxContent>
                        <w:p>
                          <w:pPr>
                            <w:pStyle w:val="102"/>
                            <w:ind w:left="0"/>
                            <w:jc w:val="left"/>
                            <w:rPr>
                              <w:sz w:val="42"/>
                              <w:szCs w:val="42"/>
                            </w:rPr>
                          </w:pPr>
                          <w:r>
                            <w:rPr>
                              <w:rFonts w:ascii="Times New Roman" w:hAnsi="Times New Roman" w:eastAsia="Times New Roman" w:cs="Times New Roman"/>
                              <w:color w:val="000000"/>
                              <w:sz w:val="42"/>
                              <w:szCs w:val="42"/>
                              <w:lang w:eastAsia="en-US" w:bidi="en-US"/>
                            </w:rPr>
                            <w:t>GB/T 34038—2017</w:t>
                          </w:r>
                        </w:p>
                      </w:txbxContent>
                    </wps:txbx>
                    <wps:bodyPr vert="horz" wrap="none" lIns="0" tIns="0" rIns="0" bIns="0" anchor="t">
                      <a:spAutoFit/>
                    </wps:bodyPr>
                  </wps:wsp>
                </a:graphicData>
              </a:graphic>
            </wp:anchor>
          </w:drawing>
        </mc:Choice>
        <mc:Fallback>
          <w:pict>
            <v:shape id="Shape 56" o:spid="_x0000_s1026" o:spt="202" type="#_x0000_t202" style="position:absolute;left:0pt;margin-left:848.55pt;margin-top:77.5pt;height:24.15pt;width:168.25pt;mso-position-horizontal-relative:page;mso-position-vertical-relative:page;mso-wrap-style:none;z-index:-251656192;mso-width-relative:page;mso-height-relative:page;" filled="f" stroked="f" coordsize="21600,21600" o:gfxdata="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75kpvXAAAADQEAAA8AAAAAAAAAAQAgAAAAIgAAAGRycy9k&#10;b3ducmV2LnhtbFBLAQIUABQAAAAIAIdO4kD5MFz4ygEAAK8DAAAOAAAAAAAAAAEAIAAAACYBAABk&#10;cnMvZTJvRG9jLnhtbFBLBQYAAAAABgAGAFkBAABiBQAAAAA=&#10;">
              <v:fill on="f" focussize="0,0"/>
              <v:stroke on="f"/>
              <v:imagedata o:title=""/>
              <o:lock v:ext="edit" aspectratio="f"/>
              <v:textbox inset="0mm,0mm,0mm,0mm" style="mso-fit-shape-to-text:t;">
                <w:txbxContent>
                  <w:p>
                    <w:pPr>
                      <w:pStyle w:val="102"/>
                      <w:ind w:left="0"/>
                      <w:jc w:val="left"/>
                      <w:rPr>
                        <w:sz w:val="42"/>
                        <w:szCs w:val="42"/>
                      </w:rPr>
                    </w:pPr>
                    <w:r>
                      <w:rPr>
                        <w:rFonts w:ascii="Times New Roman" w:hAnsi="Times New Roman" w:eastAsia="Times New Roman" w:cs="Times New Roman"/>
                        <w:color w:val="000000"/>
                        <w:sz w:val="42"/>
                        <w:szCs w:val="42"/>
                        <w:lang w:eastAsia="en-US" w:bidi="en-US"/>
                      </w:rPr>
                      <w:t>GB/T 34038—2017</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59264" behindDoc="1" locked="0" layoutInCell="1" allowOverlap="1">
              <wp:simplePos x="0" y="0"/>
              <wp:positionH relativeFrom="page">
                <wp:posOffset>235585</wp:posOffset>
              </wp:positionH>
              <wp:positionV relativeFrom="page">
                <wp:posOffset>669925</wp:posOffset>
              </wp:positionV>
              <wp:extent cx="381635" cy="153035"/>
              <wp:effectExtent l="0" t="0" r="0" b="0"/>
              <wp:wrapNone/>
              <wp:docPr id="60" name="Shape 60"/>
              <wp:cNvGraphicFramePr/>
              <a:graphic xmlns:a="http://schemas.openxmlformats.org/drawingml/2006/main">
                <a:graphicData uri="http://schemas.microsoft.com/office/word/2010/wordprocessingShape">
                  <wps:wsp>
                    <wps:cNvSpPr txBox="1"/>
                    <wps:spPr>
                      <a:xfrm>
                        <a:off x="0" y="0"/>
                        <a:ext cx="381635" cy="153035"/>
                      </a:xfrm>
                      <a:prstGeom prst="rect">
                        <a:avLst/>
                      </a:prstGeom>
                      <a:noFill/>
                      <a:ln>
                        <a:noFill/>
                      </a:ln>
                      <a:effectLst/>
                    </wps:spPr>
                    <wps:txbx>
                      <w:txbxContent>
                        <w:p/>
                      </w:txbxContent>
                    </wps:txbx>
                    <wps:bodyPr vert="horz" wrap="none" lIns="0" tIns="0" rIns="0" bIns="0" anchor="t">
                      <a:spAutoFit/>
                    </wps:bodyPr>
                  </wps:wsp>
                </a:graphicData>
              </a:graphic>
            </wp:anchor>
          </w:drawing>
        </mc:Choice>
        <mc:Fallback>
          <w:pict>
            <v:shape id="Shape 60" o:spid="_x0000_s1026" o:spt="202" type="#_x0000_t202" style="position:absolute;left:0pt;margin-left:18.55pt;margin-top:52.75pt;height:12.05pt;width:30.05pt;mso-position-horizontal-relative:page;mso-position-vertical-relative:page;mso-wrap-style:none;z-index:-251657216;mso-width-relative:page;mso-height-relative:page;" filled="f" stroked="f" coordsize="21600,21600" o:gfxdata="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VP8p1QAAAAkBAAAPAAAAAAAAAAEAIAAAACIAAABkcnMvZG93bnJl&#10;di54bWxQSwECFAAUAAAACACHTuJAZJ0p28cBAACuAwAADgAAAAAAAAABACAAAAAkAQAAZHJzL2Uy&#10;b0RvYy54bWxQSwUGAAAAAAYABgBZAQAAXQUAAAAA&#10;">
              <v:fill on="f" focussize="0,0"/>
              <v:stroke on="f"/>
              <v:imagedata o:title=""/>
              <o:lock v:ext="edit" aspectratio="f"/>
              <v:textbox inset="0mm,0mm,0mm,0mm" style="mso-fit-shape-to-text:t;">
                <w:txbxContent>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8ECA8"/>
    <w:multiLevelType w:val="multilevel"/>
    <w:tmpl w:val="9F88ECA8"/>
    <w:lvl w:ilvl="0" w:tentative="0">
      <w:start w:val="3"/>
      <w:numFmt w:val="decimal"/>
      <w:pStyle w:val="75"/>
      <w:suff w:val="nothing"/>
      <w:lvlText w:val="%1　"/>
      <w:lvlJc w:val="left"/>
      <w:pPr>
        <w:ind w:left="1985" w:firstLine="0"/>
      </w:pPr>
      <w:rPr>
        <w:rFonts w:hint="default" w:ascii="黑体" w:hAnsi="黑体" w:eastAsia="黑体" w:cs="黑体"/>
        <w:b w:val="0"/>
        <w:i w:val="0"/>
        <w:sz w:val="21"/>
        <w:szCs w:val="21"/>
      </w:rPr>
    </w:lvl>
    <w:lvl w:ilvl="1" w:tentative="0">
      <w:start w:val="1"/>
      <w:numFmt w:val="decimal"/>
      <w:pStyle w:val="53"/>
      <w:suff w:val="nothing"/>
      <w:lvlText w:val="%1.%2　"/>
      <w:lvlJc w:val="left"/>
      <w:pPr>
        <w:tabs>
          <w:tab w:val="left" w:pos="0"/>
        </w:tabs>
        <w:ind w:left="0" w:firstLine="0"/>
      </w:pPr>
      <w:rPr>
        <w:rFonts w:hint="default" w:ascii="黑体" w:hAnsi="黑体" w:eastAsia="黑体" w:cs="黑体"/>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2"/>
      <w:suff w:val="nothing"/>
      <w:lvlText w:val="%1.%2.%3　"/>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4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A0FB2724"/>
    <w:multiLevelType w:val="singleLevel"/>
    <w:tmpl w:val="A0FB2724"/>
    <w:lvl w:ilvl="0" w:tentative="0">
      <w:start w:val="1"/>
      <w:numFmt w:val="decimal"/>
      <w:lvlText w:val="%1"/>
      <w:lvlJc w:val="left"/>
      <w:pPr>
        <w:tabs>
          <w:tab w:val="left" w:pos="420"/>
        </w:tabs>
        <w:ind w:left="425" w:hanging="425"/>
      </w:pPr>
      <w:rPr>
        <w:rFonts w:hint="default"/>
      </w:rPr>
    </w:lvl>
  </w:abstractNum>
  <w:abstractNum w:abstractNumId="2">
    <w:nsid w:val="079102AD"/>
    <w:multiLevelType w:val="multilevel"/>
    <w:tmpl w:val="079102AD"/>
    <w:lvl w:ilvl="0" w:tentative="0">
      <w:start w:val="1"/>
      <w:numFmt w:val="decimal"/>
      <w:pStyle w:val="14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131"/>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1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983844"/>
    <w:multiLevelType w:val="multilevel"/>
    <w:tmpl w:val="0D983844"/>
    <w:lvl w:ilvl="0" w:tentative="0">
      <w:start w:val="1"/>
      <w:numFmt w:val="decimal"/>
      <w:pStyle w:val="1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DBF583A"/>
    <w:multiLevelType w:val="multilevel"/>
    <w:tmpl w:val="1DBF583A"/>
    <w:lvl w:ilvl="0" w:tentative="0">
      <w:start w:val="1"/>
      <w:numFmt w:val="decimal"/>
      <w:pStyle w:val="5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22827D5B"/>
    <w:multiLevelType w:val="multilevel"/>
    <w:tmpl w:val="22827D5B"/>
    <w:lvl w:ilvl="0" w:tentative="0">
      <w:start w:val="1"/>
      <w:numFmt w:val="none"/>
      <w:pStyle w:val="126"/>
      <w:suff w:val="nothing"/>
      <w:lvlText w:val="%1注："/>
      <w:lvlJc w:val="left"/>
      <w:pPr>
        <w:ind w:left="363" w:hanging="363"/>
      </w:pPr>
      <w:rPr>
        <w:rFonts w:hint="eastAsia" w:ascii="黑体" w:hAnsi="Times New Roman"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10"/>
      <w:suff w:val="space"/>
      <w:lvlText w:val="%1"/>
      <w:lvlJc w:val="left"/>
      <w:pPr>
        <w:ind w:left="623" w:hanging="425"/>
      </w:pPr>
      <w:rPr>
        <w:rFonts w:hint="eastAsia"/>
      </w:rPr>
    </w:lvl>
    <w:lvl w:ilvl="1" w:tentative="0">
      <w:start w:val="1"/>
      <w:numFmt w:val="decimal"/>
      <w:pStyle w:val="4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60"/>
      <w:suff w:val="nothing"/>
      <w:lvlText w:val="%1——"/>
      <w:lvlJc w:val="left"/>
      <w:pPr>
        <w:ind w:left="833" w:hanging="408"/>
      </w:pPr>
      <w:rPr>
        <w:rFonts w:hint="default" w:ascii="Times New Roman" w:hAnsi="Times New Roman" w:cs="Times New Roman"/>
      </w:rPr>
    </w:lvl>
    <w:lvl w:ilvl="1" w:tentative="0">
      <w:start w:val="1"/>
      <w:numFmt w:val="bullet"/>
      <w:pStyle w:val="124"/>
      <w:lvlText w:val=""/>
      <w:lvlJc w:val="left"/>
      <w:pPr>
        <w:tabs>
          <w:tab w:val="left" w:pos="760"/>
        </w:tabs>
        <w:ind w:left="1264" w:hanging="413"/>
      </w:pPr>
      <w:rPr>
        <w:rFonts w:hint="default" w:ascii="Symbol" w:hAnsi="Symbol"/>
        <w:color w:val="auto"/>
      </w:rPr>
    </w:lvl>
    <w:lvl w:ilvl="2" w:tentative="0">
      <w:start w:val="1"/>
      <w:numFmt w:val="bullet"/>
      <w:pStyle w:val="11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14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3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7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tentative="0">
      <w:start w:val="1"/>
      <w:numFmt w:val="upperLetter"/>
      <w:pStyle w:val="91"/>
      <w:lvlText w:val="%1"/>
      <w:lvlJc w:val="left"/>
      <w:pPr>
        <w:tabs>
          <w:tab w:val="left" w:pos="0"/>
        </w:tabs>
        <w:ind w:left="0" w:hanging="425"/>
      </w:pPr>
      <w:rPr>
        <w:rFonts w:hint="eastAsia"/>
      </w:rPr>
    </w:lvl>
    <w:lvl w:ilvl="1" w:tentative="0">
      <w:start w:val="1"/>
      <w:numFmt w:val="decimal"/>
      <w:pStyle w:val="83"/>
      <w:suff w:val="nothing"/>
      <w:lvlText w:val="表%1.%2　"/>
      <w:lvlJc w:val="left"/>
      <w:pPr>
        <w:ind w:left="3402" w:hanging="567"/>
      </w:pPr>
      <w:rPr>
        <w:rFonts w:hint="eastAsia" w:ascii="黑体" w:hAnsi="黑体" w:eastAsia="黑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97"/>
      <w:suff w:val="nothing"/>
      <w:lvlText w:val="表%1　"/>
      <w:lvlJc w:val="left"/>
      <w:pPr>
        <w:ind w:left="312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76"/>
      <w:suff w:val="nothing"/>
      <w:lvlText w:val="附　录　%1"/>
      <w:lvlJc w:val="left"/>
      <w:pPr>
        <w:ind w:left="3544" w:firstLine="0"/>
      </w:pPr>
      <w:rPr>
        <w:rFonts w:hint="eastAsia" w:ascii="黑体" w:hAnsi="Times New Roman" w:eastAsia="黑体"/>
        <w:b w:val="0"/>
        <w:i w:val="0"/>
        <w:spacing w:val="0"/>
        <w:w w:val="100"/>
        <w:sz w:val="21"/>
      </w:rPr>
    </w:lvl>
    <w:lvl w:ilvl="1" w:tentative="0">
      <w:start w:val="1"/>
      <w:numFmt w:val="decimal"/>
      <w:pStyle w:val="4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pStyle w:val="57"/>
      <w:suff w:val="nothing"/>
      <w:lvlText w:val="%1.%2.%3.%4　"/>
      <w:lvlJc w:val="left"/>
      <w:pPr>
        <w:ind w:left="0" w:firstLine="0"/>
      </w:pPr>
      <w:rPr>
        <w:rFonts w:hint="eastAsia" w:ascii="黑体" w:hAnsi="Times New Roman" w:eastAsia="黑体"/>
        <w:b w:val="0"/>
        <w:i w:val="0"/>
        <w:sz w:val="21"/>
      </w:rPr>
    </w:lvl>
    <w:lvl w:ilvl="4" w:tentative="0">
      <w:start w:val="1"/>
      <w:numFmt w:val="decimal"/>
      <w:pStyle w:val="67"/>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pStyle w:val="6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80"/>
      <w:lvlText w:val="%1)"/>
      <w:lvlJc w:val="left"/>
      <w:pPr>
        <w:tabs>
          <w:tab w:val="left" w:pos="839"/>
        </w:tabs>
        <w:ind w:left="839" w:hanging="419"/>
      </w:pPr>
      <w:rPr>
        <w:rFonts w:hint="eastAsia" w:ascii="宋体" w:eastAsia="宋体"/>
        <w:b w:val="0"/>
        <w:i w:val="0"/>
        <w:sz w:val="21"/>
      </w:rPr>
    </w:lvl>
    <w:lvl w:ilvl="1" w:tentative="0">
      <w:start w:val="1"/>
      <w:numFmt w:val="decimal"/>
      <w:pStyle w:val="4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11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16"/>
  </w:num>
  <w:num w:numId="3">
    <w:abstractNumId w:val="17"/>
  </w:num>
  <w:num w:numId="4">
    <w:abstractNumId w:val="9"/>
  </w:num>
  <w:num w:numId="5">
    <w:abstractNumId w:val="0"/>
  </w:num>
  <w:num w:numId="6">
    <w:abstractNumId w:val="7"/>
  </w:num>
  <w:num w:numId="7">
    <w:abstractNumId w:val="10"/>
  </w:num>
  <w:num w:numId="8">
    <w:abstractNumId w:val="13"/>
  </w:num>
  <w:num w:numId="9">
    <w:abstractNumId w:val="14"/>
  </w:num>
  <w:num w:numId="10">
    <w:abstractNumId w:val="15"/>
  </w:num>
  <w:num w:numId="11">
    <w:abstractNumId w:val="4"/>
  </w:num>
  <w:num w:numId="12">
    <w:abstractNumId w:val="18"/>
  </w:num>
  <w:num w:numId="13">
    <w:abstractNumId w:val="6"/>
  </w:num>
  <w:num w:numId="14">
    <w:abstractNumId w:val="8"/>
  </w:num>
  <w:num w:numId="15">
    <w:abstractNumId w:val="12"/>
  </w:num>
  <w:num w:numId="16">
    <w:abstractNumId w:val="3"/>
  </w:num>
  <w:num w:numId="17">
    <w:abstractNumId w:val="5"/>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xMTU1ZjkwOGMwNjFjOTc1M2M3ZWM4ZTRhOTg3ZWMifQ=="/>
  </w:docVars>
  <w:rsids>
    <w:rsidRoot w:val="00172A27"/>
    <w:rsid w:val="00000244"/>
    <w:rsid w:val="000014A2"/>
    <w:rsid w:val="0000185F"/>
    <w:rsid w:val="0000586F"/>
    <w:rsid w:val="00006382"/>
    <w:rsid w:val="00007648"/>
    <w:rsid w:val="00010B04"/>
    <w:rsid w:val="00011BD4"/>
    <w:rsid w:val="00011CC3"/>
    <w:rsid w:val="00013D86"/>
    <w:rsid w:val="00013E02"/>
    <w:rsid w:val="0001676A"/>
    <w:rsid w:val="000168B9"/>
    <w:rsid w:val="00016FE2"/>
    <w:rsid w:val="000175E5"/>
    <w:rsid w:val="00017636"/>
    <w:rsid w:val="0002143C"/>
    <w:rsid w:val="00022C71"/>
    <w:rsid w:val="00023F1E"/>
    <w:rsid w:val="00024B9F"/>
    <w:rsid w:val="000250B1"/>
    <w:rsid w:val="00025A65"/>
    <w:rsid w:val="00026C31"/>
    <w:rsid w:val="00027280"/>
    <w:rsid w:val="00027D76"/>
    <w:rsid w:val="0003164F"/>
    <w:rsid w:val="00031BB7"/>
    <w:rsid w:val="000320A7"/>
    <w:rsid w:val="0003286D"/>
    <w:rsid w:val="00032ACB"/>
    <w:rsid w:val="000337A7"/>
    <w:rsid w:val="00034B03"/>
    <w:rsid w:val="00035925"/>
    <w:rsid w:val="00036370"/>
    <w:rsid w:val="000409ED"/>
    <w:rsid w:val="00041B95"/>
    <w:rsid w:val="00042D95"/>
    <w:rsid w:val="00043662"/>
    <w:rsid w:val="000438EB"/>
    <w:rsid w:val="00045FC7"/>
    <w:rsid w:val="000468A8"/>
    <w:rsid w:val="000476A3"/>
    <w:rsid w:val="000476A7"/>
    <w:rsid w:val="00047FB4"/>
    <w:rsid w:val="0005279A"/>
    <w:rsid w:val="00053910"/>
    <w:rsid w:val="00054849"/>
    <w:rsid w:val="00055C07"/>
    <w:rsid w:val="0005713C"/>
    <w:rsid w:val="000633C0"/>
    <w:rsid w:val="000656E9"/>
    <w:rsid w:val="000657E8"/>
    <w:rsid w:val="00065EB6"/>
    <w:rsid w:val="00067CDF"/>
    <w:rsid w:val="00070AD6"/>
    <w:rsid w:val="00071459"/>
    <w:rsid w:val="00072758"/>
    <w:rsid w:val="00072ECE"/>
    <w:rsid w:val="00074FBE"/>
    <w:rsid w:val="00075416"/>
    <w:rsid w:val="000779CE"/>
    <w:rsid w:val="00081205"/>
    <w:rsid w:val="00083A09"/>
    <w:rsid w:val="00085053"/>
    <w:rsid w:val="00085AFF"/>
    <w:rsid w:val="000860C4"/>
    <w:rsid w:val="00086AA0"/>
    <w:rsid w:val="00086E5C"/>
    <w:rsid w:val="0009005E"/>
    <w:rsid w:val="00090477"/>
    <w:rsid w:val="00092857"/>
    <w:rsid w:val="00093858"/>
    <w:rsid w:val="00094736"/>
    <w:rsid w:val="000947A2"/>
    <w:rsid w:val="000951AC"/>
    <w:rsid w:val="00097AEE"/>
    <w:rsid w:val="000A0471"/>
    <w:rsid w:val="000A20A9"/>
    <w:rsid w:val="000A3DBE"/>
    <w:rsid w:val="000A48B1"/>
    <w:rsid w:val="000A5116"/>
    <w:rsid w:val="000A6FA1"/>
    <w:rsid w:val="000B1505"/>
    <w:rsid w:val="000B1CD2"/>
    <w:rsid w:val="000B3143"/>
    <w:rsid w:val="000B544E"/>
    <w:rsid w:val="000B68B7"/>
    <w:rsid w:val="000B6AA6"/>
    <w:rsid w:val="000B79CA"/>
    <w:rsid w:val="000C23A5"/>
    <w:rsid w:val="000C3189"/>
    <w:rsid w:val="000C34B6"/>
    <w:rsid w:val="000C6B05"/>
    <w:rsid w:val="000C6D91"/>
    <w:rsid w:val="000C6DD6"/>
    <w:rsid w:val="000C73D4"/>
    <w:rsid w:val="000C7575"/>
    <w:rsid w:val="000D0946"/>
    <w:rsid w:val="000D0FA9"/>
    <w:rsid w:val="000D2CF3"/>
    <w:rsid w:val="000D306D"/>
    <w:rsid w:val="000D3247"/>
    <w:rsid w:val="000D3D4C"/>
    <w:rsid w:val="000D4F51"/>
    <w:rsid w:val="000D6E84"/>
    <w:rsid w:val="000D718B"/>
    <w:rsid w:val="000E04D2"/>
    <w:rsid w:val="000E0951"/>
    <w:rsid w:val="000E0C46"/>
    <w:rsid w:val="000E4055"/>
    <w:rsid w:val="000E41DB"/>
    <w:rsid w:val="000E4D01"/>
    <w:rsid w:val="000E4FA8"/>
    <w:rsid w:val="000F030C"/>
    <w:rsid w:val="000F0CBA"/>
    <w:rsid w:val="000F129C"/>
    <w:rsid w:val="000F1837"/>
    <w:rsid w:val="000F1CA4"/>
    <w:rsid w:val="000F3437"/>
    <w:rsid w:val="000F4D57"/>
    <w:rsid w:val="000F5184"/>
    <w:rsid w:val="000F62AC"/>
    <w:rsid w:val="000F7B24"/>
    <w:rsid w:val="0010040D"/>
    <w:rsid w:val="00105669"/>
    <w:rsid w:val="001056DE"/>
    <w:rsid w:val="00111DC1"/>
    <w:rsid w:val="0011224A"/>
    <w:rsid w:val="001124C0"/>
    <w:rsid w:val="00112794"/>
    <w:rsid w:val="00120B46"/>
    <w:rsid w:val="001268EC"/>
    <w:rsid w:val="00127777"/>
    <w:rsid w:val="0013046D"/>
    <w:rsid w:val="00130D62"/>
    <w:rsid w:val="0013175F"/>
    <w:rsid w:val="00132973"/>
    <w:rsid w:val="00132B9D"/>
    <w:rsid w:val="001379B4"/>
    <w:rsid w:val="00141FC6"/>
    <w:rsid w:val="00142DCB"/>
    <w:rsid w:val="00144CD4"/>
    <w:rsid w:val="00144D34"/>
    <w:rsid w:val="001451A5"/>
    <w:rsid w:val="00146EF9"/>
    <w:rsid w:val="001508EC"/>
    <w:rsid w:val="001512B4"/>
    <w:rsid w:val="001515C4"/>
    <w:rsid w:val="00151A41"/>
    <w:rsid w:val="001558D8"/>
    <w:rsid w:val="00155C6E"/>
    <w:rsid w:val="001575C2"/>
    <w:rsid w:val="00160C2D"/>
    <w:rsid w:val="00160DA6"/>
    <w:rsid w:val="00161B7F"/>
    <w:rsid w:val="001620A5"/>
    <w:rsid w:val="00162758"/>
    <w:rsid w:val="00162881"/>
    <w:rsid w:val="00163D0F"/>
    <w:rsid w:val="00163E80"/>
    <w:rsid w:val="00163FC5"/>
    <w:rsid w:val="00164DF2"/>
    <w:rsid w:val="00164E53"/>
    <w:rsid w:val="00164EE5"/>
    <w:rsid w:val="00165410"/>
    <w:rsid w:val="0016699D"/>
    <w:rsid w:val="0016774B"/>
    <w:rsid w:val="00171F3F"/>
    <w:rsid w:val="00172A27"/>
    <w:rsid w:val="00174378"/>
    <w:rsid w:val="00175159"/>
    <w:rsid w:val="00175CCA"/>
    <w:rsid w:val="00176208"/>
    <w:rsid w:val="001803B9"/>
    <w:rsid w:val="00181F14"/>
    <w:rsid w:val="0018211B"/>
    <w:rsid w:val="001823A0"/>
    <w:rsid w:val="00183ED9"/>
    <w:rsid w:val="001840D3"/>
    <w:rsid w:val="001842E3"/>
    <w:rsid w:val="0018592F"/>
    <w:rsid w:val="001862BE"/>
    <w:rsid w:val="0018796F"/>
    <w:rsid w:val="001900F8"/>
    <w:rsid w:val="001903CE"/>
    <w:rsid w:val="00190EAD"/>
    <w:rsid w:val="00191258"/>
    <w:rsid w:val="001920C9"/>
    <w:rsid w:val="00192680"/>
    <w:rsid w:val="00193037"/>
    <w:rsid w:val="00193A2C"/>
    <w:rsid w:val="00193CB3"/>
    <w:rsid w:val="001973CF"/>
    <w:rsid w:val="001A1C40"/>
    <w:rsid w:val="001A288E"/>
    <w:rsid w:val="001A2AE3"/>
    <w:rsid w:val="001A3F58"/>
    <w:rsid w:val="001A5112"/>
    <w:rsid w:val="001A5296"/>
    <w:rsid w:val="001B033A"/>
    <w:rsid w:val="001B03ED"/>
    <w:rsid w:val="001B140D"/>
    <w:rsid w:val="001B2DDB"/>
    <w:rsid w:val="001B300C"/>
    <w:rsid w:val="001B3BA7"/>
    <w:rsid w:val="001B409B"/>
    <w:rsid w:val="001B4CF7"/>
    <w:rsid w:val="001B4F2F"/>
    <w:rsid w:val="001B5CFA"/>
    <w:rsid w:val="001B6DC2"/>
    <w:rsid w:val="001C149C"/>
    <w:rsid w:val="001C1C24"/>
    <w:rsid w:val="001C21AC"/>
    <w:rsid w:val="001C2ADF"/>
    <w:rsid w:val="001C4026"/>
    <w:rsid w:val="001C4054"/>
    <w:rsid w:val="001C47BA"/>
    <w:rsid w:val="001C59EA"/>
    <w:rsid w:val="001C5E13"/>
    <w:rsid w:val="001C5E5A"/>
    <w:rsid w:val="001C5F84"/>
    <w:rsid w:val="001D16BA"/>
    <w:rsid w:val="001D2682"/>
    <w:rsid w:val="001D406C"/>
    <w:rsid w:val="001D41EE"/>
    <w:rsid w:val="001D465E"/>
    <w:rsid w:val="001D4AF3"/>
    <w:rsid w:val="001D569E"/>
    <w:rsid w:val="001D59B6"/>
    <w:rsid w:val="001D78E1"/>
    <w:rsid w:val="001E0380"/>
    <w:rsid w:val="001E0FF3"/>
    <w:rsid w:val="001E13B1"/>
    <w:rsid w:val="001E3C35"/>
    <w:rsid w:val="001E7872"/>
    <w:rsid w:val="001E7D78"/>
    <w:rsid w:val="001E7F61"/>
    <w:rsid w:val="001F0617"/>
    <w:rsid w:val="001F1217"/>
    <w:rsid w:val="001F1E6D"/>
    <w:rsid w:val="001F3A19"/>
    <w:rsid w:val="001F4564"/>
    <w:rsid w:val="001F67E1"/>
    <w:rsid w:val="001F755B"/>
    <w:rsid w:val="001F7E82"/>
    <w:rsid w:val="002005A9"/>
    <w:rsid w:val="00200CD5"/>
    <w:rsid w:val="00201B5A"/>
    <w:rsid w:val="00203F98"/>
    <w:rsid w:val="00204616"/>
    <w:rsid w:val="0020573D"/>
    <w:rsid w:val="0021082D"/>
    <w:rsid w:val="00210E80"/>
    <w:rsid w:val="00211C6A"/>
    <w:rsid w:val="00211CAF"/>
    <w:rsid w:val="00214010"/>
    <w:rsid w:val="00215FBE"/>
    <w:rsid w:val="00217E9F"/>
    <w:rsid w:val="00221162"/>
    <w:rsid w:val="002215E5"/>
    <w:rsid w:val="0022194C"/>
    <w:rsid w:val="00223678"/>
    <w:rsid w:val="002247E5"/>
    <w:rsid w:val="00224C7A"/>
    <w:rsid w:val="00224CE6"/>
    <w:rsid w:val="002250D0"/>
    <w:rsid w:val="00227261"/>
    <w:rsid w:val="00227773"/>
    <w:rsid w:val="0023003E"/>
    <w:rsid w:val="00234467"/>
    <w:rsid w:val="0023453F"/>
    <w:rsid w:val="00237373"/>
    <w:rsid w:val="00237A99"/>
    <w:rsid w:val="00237D8D"/>
    <w:rsid w:val="00241811"/>
    <w:rsid w:val="00241DA2"/>
    <w:rsid w:val="00243E78"/>
    <w:rsid w:val="00243FBD"/>
    <w:rsid w:val="00243FF7"/>
    <w:rsid w:val="0024416F"/>
    <w:rsid w:val="00245241"/>
    <w:rsid w:val="00246171"/>
    <w:rsid w:val="00247284"/>
    <w:rsid w:val="0024729A"/>
    <w:rsid w:val="0024743D"/>
    <w:rsid w:val="00247FEE"/>
    <w:rsid w:val="00250A55"/>
    <w:rsid w:val="00250E7D"/>
    <w:rsid w:val="0025333F"/>
    <w:rsid w:val="00253662"/>
    <w:rsid w:val="002542DD"/>
    <w:rsid w:val="0025438B"/>
    <w:rsid w:val="002565D5"/>
    <w:rsid w:val="0026138E"/>
    <w:rsid w:val="002622C0"/>
    <w:rsid w:val="00262BF0"/>
    <w:rsid w:val="00262EF1"/>
    <w:rsid w:val="00263067"/>
    <w:rsid w:val="00263F5D"/>
    <w:rsid w:val="002666DE"/>
    <w:rsid w:val="00267B75"/>
    <w:rsid w:val="002708B9"/>
    <w:rsid w:val="00270BA4"/>
    <w:rsid w:val="00271BCC"/>
    <w:rsid w:val="00272904"/>
    <w:rsid w:val="00272B6B"/>
    <w:rsid w:val="00272CB7"/>
    <w:rsid w:val="00273151"/>
    <w:rsid w:val="00273ADA"/>
    <w:rsid w:val="002768AD"/>
    <w:rsid w:val="002778AE"/>
    <w:rsid w:val="00280B13"/>
    <w:rsid w:val="00281954"/>
    <w:rsid w:val="00281E0C"/>
    <w:rsid w:val="0028240D"/>
    <w:rsid w:val="0028269A"/>
    <w:rsid w:val="00283590"/>
    <w:rsid w:val="00286973"/>
    <w:rsid w:val="00292AD7"/>
    <w:rsid w:val="0029334F"/>
    <w:rsid w:val="002940DE"/>
    <w:rsid w:val="00294E70"/>
    <w:rsid w:val="00295B9A"/>
    <w:rsid w:val="002962A5"/>
    <w:rsid w:val="002A0638"/>
    <w:rsid w:val="002A1924"/>
    <w:rsid w:val="002A1C7E"/>
    <w:rsid w:val="002A1ECF"/>
    <w:rsid w:val="002A2626"/>
    <w:rsid w:val="002A2CD5"/>
    <w:rsid w:val="002A4E48"/>
    <w:rsid w:val="002A52EC"/>
    <w:rsid w:val="002A64FD"/>
    <w:rsid w:val="002A7420"/>
    <w:rsid w:val="002B0F12"/>
    <w:rsid w:val="002B0F5C"/>
    <w:rsid w:val="002B1308"/>
    <w:rsid w:val="002B1E29"/>
    <w:rsid w:val="002B4554"/>
    <w:rsid w:val="002B5399"/>
    <w:rsid w:val="002B79E9"/>
    <w:rsid w:val="002C0DFF"/>
    <w:rsid w:val="002C0E68"/>
    <w:rsid w:val="002C1D84"/>
    <w:rsid w:val="002C25C0"/>
    <w:rsid w:val="002C72D8"/>
    <w:rsid w:val="002D11FA"/>
    <w:rsid w:val="002D134F"/>
    <w:rsid w:val="002D17C1"/>
    <w:rsid w:val="002D3406"/>
    <w:rsid w:val="002D5C49"/>
    <w:rsid w:val="002D7165"/>
    <w:rsid w:val="002E05AE"/>
    <w:rsid w:val="002E0DDF"/>
    <w:rsid w:val="002E2906"/>
    <w:rsid w:val="002E2B63"/>
    <w:rsid w:val="002E363B"/>
    <w:rsid w:val="002E5130"/>
    <w:rsid w:val="002E5635"/>
    <w:rsid w:val="002E64C3"/>
    <w:rsid w:val="002E6A2C"/>
    <w:rsid w:val="002F1D8C"/>
    <w:rsid w:val="002F21DA"/>
    <w:rsid w:val="002F4EFB"/>
    <w:rsid w:val="002F5DE3"/>
    <w:rsid w:val="002F61D7"/>
    <w:rsid w:val="00301F39"/>
    <w:rsid w:val="00310FEB"/>
    <w:rsid w:val="0031151F"/>
    <w:rsid w:val="0031327F"/>
    <w:rsid w:val="00314676"/>
    <w:rsid w:val="00314772"/>
    <w:rsid w:val="0031644F"/>
    <w:rsid w:val="00321146"/>
    <w:rsid w:val="003219A2"/>
    <w:rsid w:val="003221F1"/>
    <w:rsid w:val="00323FA8"/>
    <w:rsid w:val="003255C3"/>
    <w:rsid w:val="00325926"/>
    <w:rsid w:val="0032606D"/>
    <w:rsid w:val="00327A8A"/>
    <w:rsid w:val="00331897"/>
    <w:rsid w:val="00331D5C"/>
    <w:rsid w:val="003329D4"/>
    <w:rsid w:val="00332E0D"/>
    <w:rsid w:val="00333837"/>
    <w:rsid w:val="003339C4"/>
    <w:rsid w:val="00336610"/>
    <w:rsid w:val="003370A1"/>
    <w:rsid w:val="00340435"/>
    <w:rsid w:val="003412A7"/>
    <w:rsid w:val="00342D24"/>
    <w:rsid w:val="00343F73"/>
    <w:rsid w:val="003449A4"/>
    <w:rsid w:val="00345060"/>
    <w:rsid w:val="00346B85"/>
    <w:rsid w:val="003515E0"/>
    <w:rsid w:val="0035323B"/>
    <w:rsid w:val="00353659"/>
    <w:rsid w:val="00354593"/>
    <w:rsid w:val="00356DE8"/>
    <w:rsid w:val="0035720D"/>
    <w:rsid w:val="003609D2"/>
    <w:rsid w:val="003614E4"/>
    <w:rsid w:val="00361593"/>
    <w:rsid w:val="00363EE5"/>
    <w:rsid w:val="00363F22"/>
    <w:rsid w:val="00366B79"/>
    <w:rsid w:val="00367045"/>
    <w:rsid w:val="003675BF"/>
    <w:rsid w:val="0037054C"/>
    <w:rsid w:val="00371D3A"/>
    <w:rsid w:val="00373E88"/>
    <w:rsid w:val="00375564"/>
    <w:rsid w:val="003756C2"/>
    <w:rsid w:val="00376987"/>
    <w:rsid w:val="0037719C"/>
    <w:rsid w:val="00380245"/>
    <w:rsid w:val="00380721"/>
    <w:rsid w:val="0038073F"/>
    <w:rsid w:val="00380802"/>
    <w:rsid w:val="00383191"/>
    <w:rsid w:val="0038329C"/>
    <w:rsid w:val="00383B4F"/>
    <w:rsid w:val="00386DCD"/>
    <w:rsid w:val="00386DED"/>
    <w:rsid w:val="003906AF"/>
    <w:rsid w:val="003912E7"/>
    <w:rsid w:val="00391F01"/>
    <w:rsid w:val="003933A6"/>
    <w:rsid w:val="0039343F"/>
    <w:rsid w:val="00393947"/>
    <w:rsid w:val="003942E7"/>
    <w:rsid w:val="00394732"/>
    <w:rsid w:val="00396FF8"/>
    <w:rsid w:val="003A0AAC"/>
    <w:rsid w:val="003A158B"/>
    <w:rsid w:val="003A19E0"/>
    <w:rsid w:val="003A2275"/>
    <w:rsid w:val="003A40CB"/>
    <w:rsid w:val="003A4E25"/>
    <w:rsid w:val="003A5070"/>
    <w:rsid w:val="003A6A4F"/>
    <w:rsid w:val="003A7088"/>
    <w:rsid w:val="003B00DF"/>
    <w:rsid w:val="003B11FF"/>
    <w:rsid w:val="003B1275"/>
    <w:rsid w:val="003B1778"/>
    <w:rsid w:val="003B1D45"/>
    <w:rsid w:val="003B275A"/>
    <w:rsid w:val="003C0015"/>
    <w:rsid w:val="003C03DC"/>
    <w:rsid w:val="003C11CB"/>
    <w:rsid w:val="003C44B2"/>
    <w:rsid w:val="003C510C"/>
    <w:rsid w:val="003C75F3"/>
    <w:rsid w:val="003C78A3"/>
    <w:rsid w:val="003D24AD"/>
    <w:rsid w:val="003D430A"/>
    <w:rsid w:val="003D54C6"/>
    <w:rsid w:val="003D6FDD"/>
    <w:rsid w:val="003D7347"/>
    <w:rsid w:val="003D73FD"/>
    <w:rsid w:val="003D7B8A"/>
    <w:rsid w:val="003E1368"/>
    <w:rsid w:val="003E1867"/>
    <w:rsid w:val="003E5729"/>
    <w:rsid w:val="003E5DA5"/>
    <w:rsid w:val="003E6E1F"/>
    <w:rsid w:val="003E7972"/>
    <w:rsid w:val="003F0BF5"/>
    <w:rsid w:val="003F133D"/>
    <w:rsid w:val="003F2BB8"/>
    <w:rsid w:val="003F4EE0"/>
    <w:rsid w:val="003F52CD"/>
    <w:rsid w:val="003F716B"/>
    <w:rsid w:val="00400C0C"/>
    <w:rsid w:val="00402153"/>
    <w:rsid w:val="00402C8F"/>
    <w:rsid w:val="00402FC1"/>
    <w:rsid w:val="00406A64"/>
    <w:rsid w:val="00413019"/>
    <w:rsid w:val="004134C6"/>
    <w:rsid w:val="004139C6"/>
    <w:rsid w:val="004140D3"/>
    <w:rsid w:val="004143B5"/>
    <w:rsid w:val="00414878"/>
    <w:rsid w:val="00414CFE"/>
    <w:rsid w:val="00417C89"/>
    <w:rsid w:val="004209BF"/>
    <w:rsid w:val="00420F4E"/>
    <w:rsid w:val="00423107"/>
    <w:rsid w:val="00423174"/>
    <w:rsid w:val="00423D76"/>
    <w:rsid w:val="00424F0D"/>
    <w:rsid w:val="00425082"/>
    <w:rsid w:val="004255E0"/>
    <w:rsid w:val="0043127E"/>
    <w:rsid w:val="00431DEB"/>
    <w:rsid w:val="004340E5"/>
    <w:rsid w:val="00435E63"/>
    <w:rsid w:val="0043783F"/>
    <w:rsid w:val="00440F44"/>
    <w:rsid w:val="0044109C"/>
    <w:rsid w:val="00441DD6"/>
    <w:rsid w:val="00441FEC"/>
    <w:rsid w:val="00442E55"/>
    <w:rsid w:val="0044333D"/>
    <w:rsid w:val="00443AC8"/>
    <w:rsid w:val="00445580"/>
    <w:rsid w:val="00445EF8"/>
    <w:rsid w:val="00446366"/>
    <w:rsid w:val="00446828"/>
    <w:rsid w:val="00446B29"/>
    <w:rsid w:val="00447539"/>
    <w:rsid w:val="0044767F"/>
    <w:rsid w:val="004479FC"/>
    <w:rsid w:val="00447F47"/>
    <w:rsid w:val="00451E78"/>
    <w:rsid w:val="00452A40"/>
    <w:rsid w:val="00453F9A"/>
    <w:rsid w:val="00454197"/>
    <w:rsid w:val="00455FA9"/>
    <w:rsid w:val="00456036"/>
    <w:rsid w:val="00456177"/>
    <w:rsid w:val="00457D5D"/>
    <w:rsid w:val="00457EFE"/>
    <w:rsid w:val="004612B2"/>
    <w:rsid w:val="00461471"/>
    <w:rsid w:val="00461F0E"/>
    <w:rsid w:val="00461F4B"/>
    <w:rsid w:val="004631D4"/>
    <w:rsid w:val="00463311"/>
    <w:rsid w:val="00464DA9"/>
    <w:rsid w:val="00464E28"/>
    <w:rsid w:val="00467858"/>
    <w:rsid w:val="00470EFA"/>
    <w:rsid w:val="0047191B"/>
    <w:rsid w:val="00471E91"/>
    <w:rsid w:val="004729B2"/>
    <w:rsid w:val="004730C2"/>
    <w:rsid w:val="00473EB7"/>
    <w:rsid w:val="00474675"/>
    <w:rsid w:val="0047470C"/>
    <w:rsid w:val="004758EB"/>
    <w:rsid w:val="00475B86"/>
    <w:rsid w:val="004768F6"/>
    <w:rsid w:val="00481D01"/>
    <w:rsid w:val="00484630"/>
    <w:rsid w:val="00484F78"/>
    <w:rsid w:val="004850CF"/>
    <w:rsid w:val="00491DA1"/>
    <w:rsid w:val="004977E1"/>
    <w:rsid w:val="004A0A41"/>
    <w:rsid w:val="004A1908"/>
    <w:rsid w:val="004A2AB9"/>
    <w:rsid w:val="004A35F9"/>
    <w:rsid w:val="004A4322"/>
    <w:rsid w:val="004A490B"/>
    <w:rsid w:val="004B0021"/>
    <w:rsid w:val="004B1740"/>
    <w:rsid w:val="004B1B5A"/>
    <w:rsid w:val="004B1B60"/>
    <w:rsid w:val="004B1F1C"/>
    <w:rsid w:val="004B220F"/>
    <w:rsid w:val="004B24C1"/>
    <w:rsid w:val="004B4A72"/>
    <w:rsid w:val="004B5F5D"/>
    <w:rsid w:val="004B7667"/>
    <w:rsid w:val="004B7783"/>
    <w:rsid w:val="004C292F"/>
    <w:rsid w:val="004C2EC5"/>
    <w:rsid w:val="004C6402"/>
    <w:rsid w:val="004C6AD0"/>
    <w:rsid w:val="004D070F"/>
    <w:rsid w:val="004D0C98"/>
    <w:rsid w:val="004D136C"/>
    <w:rsid w:val="004D13ED"/>
    <w:rsid w:val="004D3135"/>
    <w:rsid w:val="004D67AC"/>
    <w:rsid w:val="004E3E29"/>
    <w:rsid w:val="004E4192"/>
    <w:rsid w:val="004E4600"/>
    <w:rsid w:val="004E4CF3"/>
    <w:rsid w:val="004F28B6"/>
    <w:rsid w:val="004F3E6A"/>
    <w:rsid w:val="004F6BA3"/>
    <w:rsid w:val="004F6CBE"/>
    <w:rsid w:val="004F7511"/>
    <w:rsid w:val="005016E1"/>
    <w:rsid w:val="00501E62"/>
    <w:rsid w:val="005055DA"/>
    <w:rsid w:val="005067C4"/>
    <w:rsid w:val="00506C56"/>
    <w:rsid w:val="00507141"/>
    <w:rsid w:val="00510280"/>
    <w:rsid w:val="00510ED6"/>
    <w:rsid w:val="00511A0D"/>
    <w:rsid w:val="00513093"/>
    <w:rsid w:val="00513D73"/>
    <w:rsid w:val="00514A43"/>
    <w:rsid w:val="005152AC"/>
    <w:rsid w:val="00515ADC"/>
    <w:rsid w:val="00516EAC"/>
    <w:rsid w:val="005174E5"/>
    <w:rsid w:val="00520FDF"/>
    <w:rsid w:val="00522393"/>
    <w:rsid w:val="00522620"/>
    <w:rsid w:val="005244C8"/>
    <w:rsid w:val="00525656"/>
    <w:rsid w:val="005256A4"/>
    <w:rsid w:val="00527012"/>
    <w:rsid w:val="00532C14"/>
    <w:rsid w:val="00533173"/>
    <w:rsid w:val="00534C02"/>
    <w:rsid w:val="00537D5F"/>
    <w:rsid w:val="00537F13"/>
    <w:rsid w:val="005422D6"/>
    <w:rsid w:val="0054264B"/>
    <w:rsid w:val="00543786"/>
    <w:rsid w:val="00543A7C"/>
    <w:rsid w:val="005504AA"/>
    <w:rsid w:val="00550D19"/>
    <w:rsid w:val="005533D7"/>
    <w:rsid w:val="00554989"/>
    <w:rsid w:val="00560DD5"/>
    <w:rsid w:val="00562DBE"/>
    <w:rsid w:val="0056375E"/>
    <w:rsid w:val="00563DB0"/>
    <w:rsid w:val="00564883"/>
    <w:rsid w:val="0056535C"/>
    <w:rsid w:val="005703DE"/>
    <w:rsid w:val="00571879"/>
    <w:rsid w:val="00571ECF"/>
    <w:rsid w:val="0057279F"/>
    <w:rsid w:val="00573B4B"/>
    <w:rsid w:val="00573F2C"/>
    <w:rsid w:val="005743F2"/>
    <w:rsid w:val="005751CC"/>
    <w:rsid w:val="005752D5"/>
    <w:rsid w:val="00575BC9"/>
    <w:rsid w:val="005760E3"/>
    <w:rsid w:val="00577B82"/>
    <w:rsid w:val="005815E1"/>
    <w:rsid w:val="0058233E"/>
    <w:rsid w:val="00583672"/>
    <w:rsid w:val="0058464E"/>
    <w:rsid w:val="005858DA"/>
    <w:rsid w:val="005869FC"/>
    <w:rsid w:val="00587125"/>
    <w:rsid w:val="00593448"/>
    <w:rsid w:val="005937D3"/>
    <w:rsid w:val="00593B48"/>
    <w:rsid w:val="00595FB1"/>
    <w:rsid w:val="00596515"/>
    <w:rsid w:val="005A01CB"/>
    <w:rsid w:val="005A156D"/>
    <w:rsid w:val="005A1E39"/>
    <w:rsid w:val="005A24EF"/>
    <w:rsid w:val="005A2B1C"/>
    <w:rsid w:val="005A3DC8"/>
    <w:rsid w:val="005A4AB5"/>
    <w:rsid w:val="005A4BF3"/>
    <w:rsid w:val="005A58FF"/>
    <w:rsid w:val="005A5921"/>
    <w:rsid w:val="005A5EAF"/>
    <w:rsid w:val="005A636B"/>
    <w:rsid w:val="005A64C0"/>
    <w:rsid w:val="005A7C03"/>
    <w:rsid w:val="005B1103"/>
    <w:rsid w:val="005B2D17"/>
    <w:rsid w:val="005B2F50"/>
    <w:rsid w:val="005B3C11"/>
    <w:rsid w:val="005B4657"/>
    <w:rsid w:val="005B4787"/>
    <w:rsid w:val="005B487A"/>
    <w:rsid w:val="005B4B27"/>
    <w:rsid w:val="005B6596"/>
    <w:rsid w:val="005B69C9"/>
    <w:rsid w:val="005B6C7A"/>
    <w:rsid w:val="005B7AE8"/>
    <w:rsid w:val="005B7EFD"/>
    <w:rsid w:val="005C03E4"/>
    <w:rsid w:val="005C0FB5"/>
    <w:rsid w:val="005C14C6"/>
    <w:rsid w:val="005C1C28"/>
    <w:rsid w:val="005C3502"/>
    <w:rsid w:val="005C3FE9"/>
    <w:rsid w:val="005C4D9D"/>
    <w:rsid w:val="005C63B9"/>
    <w:rsid w:val="005C6DB5"/>
    <w:rsid w:val="005C7077"/>
    <w:rsid w:val="005C7445"/>
    <w:rsid w:val="005D70CD"/>
    <w:rsid w:val="005E19E7"/>
    <w:rsid w:val="005E2368"/>
    <w:rsid w:val="005E3C8C"/>
    <w:rsid w:val="005E6979"/>
    <w:rsid w:val="005F0564"/>
    <w:rsid w:val="005F0D35"/>
    <w:rsid w:val="005F60BF"/>
    <w:rsid w:val="005F620A"/>
    <w:rsid w:val="005F64B2"/>
    <w:rsid w:val="005F67EC"/>
    <w:rsid w:val="00602202"/>
    <w:rsid w:val="00602279"/>
    <w:rsid w:val="006038C3"/>
    <w:rsid w:val="00603959"/>
    <w:rsid w:val="00603C3A"/>
    <w:rsid w:val="00605556"/>
    <w:rsid w:val="0060773B"/>
    <w:rsid w:val="0061180D"/>
    <w:rsid w:val="006131FE"/>
    <w:rsid w:val="006143A9"/>
    <w:rsid w:val="0061716C"/>
    <w:rsid w:val="006204A8"/>
    <w:rsid w:val="00620E1F"/>
    <w:rsid w:val="00620F91"/>
    <w:rsid w:val="00622CCB"/>
    <w:rsid w:val="006243A1"/>
    <w:rsid w:val="00624718"/>
    <w:rsid w:val="006247AE"/>
    <w:rsid w:val="00624AFC"/>
    <w:rsid w:val="00627157"/>
    <w:rsid w:val="0062798D"/>
    <w:rsid w:val="00631673"/>
    <w:rsid w:val="00632E56"/>
    <w:rsid w:val="00633AED"/>
    <w:rsid w:val="00633E67"/>
    <w:rsid w:val="00633F40"/>
    <w:rsid w:val="0063540B"/>
    <w:rsid w:val="0063541A"/>
    <w:rsid w:val="00635CBA"/>
    <w:rsid w:val="006360DA"/>
    <w:rsid w:val="006363B5"/>
    <w:rsid w:val="006368BD"/>
    <w:rsid w:val="00641593"/>
    <w:rsid w:val="0064338B"/>
    <w:rsid w:val="0064499D"/>
    <w:rsid w:val="00644EC2"/>
    <w:rsid w:val="006451D3"/>
    <w:rsid w:val="00646483"/>
    <w:rsid w:val="00646542"/>
    <w:rsid w:val="00646EBE"/>
    <w:rsid w:val="006504F4"/>
    <w:rsid w:val="00651DE8"/>
    <w:rsid w:val="00653524"/>
    <w:rsid w:val="00654AF0"/>
    <w:rsid w:val="00654BC9"/>
    <w:rsid w:val="006552FD"/>
    <w:rsid w:val="00660E41"/>
    <w:rsid w:val="00662A0A"/>
    <w:rsid w:val="00663AF3"/>
    <w:rsid w:val="00664731"/>
    <w:rsid w:val="006648E1"/>
    <w:rsid w:val="00665F0B"/>
    <w:rsid w:val="006663F3"/>
    <w:rsid w:val="00666B6C"/>
    <w:rsid w:val="00667E2E"/>
    <w:rsid w:val="00667EED"/>
    <w:rsid w:val="00670523"/>
    <w:rsid w:val="00671544"/>
    <w:rsid w:val="00672674"/>
    <w:rsid w:val="006748B2"/>
    <w:rsid w:val="006762AC"/>
    <w:rsid w:val="006803DA"/>
    <w:rsid w:val="00680C00"/>
    <w:rsid w:val="00680CF9"/>
    <w:rsid w:val="006821E2"/>
    <w:rsid w:val="006823D9"/>
    <w:rsid w:val="00682682"/>
    <w:rsid w:val="00682702"/>
    <w:rsid w:val="00682CAE"/>
    <w:rsid w:val="00683E37"/>
    <w:rsid w:val="00685CB7"/>
    <w:rsid w:val="0068719F"/>
    <w:rsid w:val="00687360"/>
    <w:rsid w:val="006914FC"/>
    <w:rsid w:val="00692368"/>
    <w:rsid w:val="00692A72"/>
    <w:rsid w:val="00694210"/>
    <w:rsid w:val="006951BC"/>
    <w:rsid w:val="0069574C"/>
    <w:rsid w:val="006960D0"/>
    <w:rsid w:val="00696D16"/>
    <w:rsid w:val="0069731F"/>
    <w:rsid w:val="006A0183"/>
    <w:rsid w:val="006A05B3"/>
    <w:rsid w:val="006A07F4"/>
    <w:rsid w:val="006A0D89"/>
    <w:rsid w:val="006A1711"/>
    <w:rsid w:val="006A2BD7"/>
    <w:rsid w:val="006A2EBC"/>
    <w:rsid w:val="006A2F36"/>
    <w:rsid w:val="006A30D7"/>
    <w:rsid w:val="006A3DC3"/>
    <w:rsid w:val="006A5EA0"/>
    <w:rsid w:val="006A62DD"/>
    <w:rsid w:val="006A783B"/>
    <w:rsid w:val="006A7B33"/>
    <w:rsid w:val="006B1DF7"/>
    <w:rsid w:val="006B2424"/>
    <w:rsid w:val="006B279B"/>
    <w:rsid w:val="006B37C8"/>
    <w:rsid w:val="006B4E13"/>
    <w:rsid w:val="006B5142"/>
    <w:rsid w:val="006B75DD"/>
    <w:rsid w:val="006C0A95"/>
    <w:rsid w:val="006C108F"/>
    <w:rsid w:val="006C20AB"/>
    <w:rsid w:val="006C67E0"/>
    <w:rsid w:val="006C7546"/>
    <w:rsid w:val="006C7ABA"/>
    <w:rsid w:val="006C7C32"/>
    <w:rsid w:val="006D0D60"/>
    <w:rsid w:val="006D1122"/>
    <w:rsid w:val="006D3C00"/>
    <w:rsid w:val="006D3E5E"/>
    <w:rsid w:val="006D466E"/>
    <w:rsid w:val="006D657A"/>
    <w:rsid w:val="006D6CF4"/>
    <w:rsid w:val="006D7E15"/>
    <w:rsid w:val="006E3675"/>
    <w:rsid w:val="006E41AC"/>
    <w:rsid w:val="006E4A7F"/>
    <w:rsid w:val="006E51E5"/>
    <w:rsid w:val="006E56D0"/>
    <w:rsid w:val="006E7C01"/>
    <w:rsid w:val="006F7B25"/>
    <w:rsid w:val="00700B63"/>
    <w:rsid w:val="00704DF6"/>
    <w:rsid w:val="00705DED"/>
    <w:rsid w:val="00706095"/>
    <w:rsid w:val="0070651C"/>
    <w:rsid w:val="00707764"/>
    <w:rsid w:val="0071198E"/>
    <w:rsid w:val="0071308F"/>
    <w:rsid w:val="007132A3"/>
    <w:rsid w:val="00714244"/>
    <w:rsid w:val="00714794"/>
    <w:rsid w:val="00716286"/>
    <w:rsid w:val="00716421"/>
    <w:rsid w:val="00716B80"/>
    <w:rsid w:val="00717A8A"/>
    <w:rsid w:val="00720335"/>
    <w:rsid w:val="0072090B"/>
    <w:rsid w:val="00721C2E"/>
    <w:rsid w:val="00724EFB"/>
    <w:rsid w:val="00727392"/>
    <w:rsid w:val="00730969"/>
    <w:rsid w:val="00732F10"/>
    <w:rsid w:val="007338A1"/>
    <w:rsid w:val="0073503C"/>
    <w:rsid w:val="00737EB1"/>
    <w:rsid w:val="007419C3"/>
    <w:rsid w:val="007440F7"/>
    <w:rsid w:val="00744F22"/>
    <w:rsid w:val="0074506A"/>
    <w:rsid w:val="0074569F"/>
    <w:rsid w:val="007467A7"/>
    <w:rsid w:val="007469DD"/>
    <w:rsid w:val="0074741B"/>
    <w:rsid w:val="0074759E"/>
    <w:rsid w:val="007478EA"/>
    <w:rsid w:val="00747AE8"/>
    <w:rsid w:val="0075016E"/>
    <w:rsid w:val="007504F8"/>
    <w:rsid w:val="00750C12"/>
    <w:rsid w:val="0075176B"/>
    <w:rsid w:val="00753A2F"/>
    <w:rsid w:val="00753AF8"/>
    <w:rsid w:val="0075415C"/>
    <w:rsid w:val="00755568"/>
    <w:rsid w:val="0075758C"/>
    <w:rsid w:val="0076062B"/>
    <w:rsid w:val="0076105E"/>
    <w:rsid w:val="00761B39"/>
    <w:rsid w:val="007624D9"/>
    <w:rsid w:val="00763502"/>
    <w:rsid w:val="00763D30"/>
    <w:rsid w:val="007644B2"/>
    <w:rsid w:val="0076614A"/>
    <w:rsid w:val="0076676D"/>
    <w:rsid w:val="00766B36"/>
    <w:rsid w:val="00767386"/>
    <w:rsid w:val="00767A51"/>
    <w:rsid w:val="007702C3"/>
    <w:rsid w:val="00770449"/>
    <w:rsid w:val="00770FE2"/>
    <w:rsid w:val="00771597"/>
    <w:rsid w:val="00771B61"/>
    <w:rsid w:val="007721A5"/>
    <w:rsid w:val="007728C7"/>
    <w:rsid w:val="00774AE1"/>
    <w:rsid w:val="00777032"/>
    <w:rsid w:val="007801C8"/>
    <w:rsid w:val="007806D3"/>
    <w:rsid w:val="00780E99"/>
    <w:rsid w:val="0078160D"/>
    <w:rsid w:val="0078183B"/>
    <w:rsid w:val="007832D9"/>
    <w:rsid w:val="0078603E"/>
    <w:rsid w:val="00787C36"/>
    <w:rsid w:val="007913AB"/>
    <w:rsid w:val="007914F7"/>
    <w:rsid w:val="00793136"/>
    <w:rsid w:val="00793A4C"/>
    <w:rsid w:val="00794940"/>
    <w:rsid w:val="00794E2D"/>
    <w:rsid w:val="00795499"/>
    <w:rsid w:val="00796EFA"/>
    <w:rsid w:val="007A0A24"/>
    <w:rsid w:val="007A3BDF"/>
    <w:rsid w:val="007A4902"/>
    <w:rsid w:val="007A5294"/>
    <w:rsid w:val="007A63D6"/>
    <w:rsid w:val="007B118D"/>
    <w:rsid w:val="007B1625"/>
    <w:rsid w:val="007B1753"/>
    <w:rsid w:val="007B1B81"/>
    <w:rsid w:val="007B3BC2"/>
    <w:rsid w:val="007B5E89"/>
    <w:rsid w:val="007B6289"/>
    <w:rsid w:val="007B706E"/>
    <w:rsid w:val="007B71EB"/>
    <w:rsid w:val="007B7954"/>
    <w:rsid w:val="007C0916"/>
    <w:rsid w:val="007C27DB"/>
    <w:rsid w:val="007C3A74"/>
    <w:rsid w:val="007C4443"/>
    <w:rsid w:val="007C6205"/>
    <w:rsid w:val="007C6251"/>
    <w:rsid w:val="007C686A"/>
    <w:rsid w:val="007C728E"/>
    <w:rsid w:val="007D0F45"/>
    <w:rsid w:val="007D2B21"/>
    <w:rsid w:val="007D2C53"/>
    <w:rsid w:val="007D39F7"/>
    <w:rsid w:val="007D3D60"/>
    <w:rsid w:val="007D4C3C"/>
    <w:rsid w:val="007D556A"/>
    <w:rsid w:val="007E1012"/>
    <w:rsid w:val="007E133D"/>
    <w:rsid w:val="007E1957"/>
    <w:rsid w:val="007E1980"/>
    <w:rsid w:val="007E4B76"/>
    <w:rsid w:val="007E5EA8"/>
    <w:rsid w:val="007E5F80"/>
    <w:rsid w:val="007E6364"/>
    <w:rsid w:val="007E7598"/>
    <w:rsid w:val="007E763F"/>
    <w:rsid w:val="007E7AE0"/>
    <w:rsid w:val="007F0CF1"/>
    <w:rsid w:val="007F0F28"/>
    <w:rsid w:val="007F12A5"/>
    <w:rsid w:val="007F230B"/>
    <w:rsid w:val="007F310F"/>
    <w:rsid w:val="007F3BCC"/>
    <w:rsid w:val="007F4CF1"/>
    <w:rsid w:val="007F5169"/>
    <w:rsid w:val="007F58C4"/>
    <w:rsid w:val="007F6108"/>
    <w:rsid w:val="007F62FF"/>
    <w:rsid w:val="007F70D7"/>
    <w:rsid w:val="007F758D"/>
    <w:rsid w:val="007F7D52"/>
    <w:rsid w:val="0080067C"/>
    <w:rsid w:val="008023F4"/>
    <w:rsid w:val="008030D3"/>
    <w:rsid w:val="008034ED"/>
    <w:rsid w:val="0080623F"/>
    <w:rsid w:val="0080654C"/>
    <w:rsid w:val="008071C6"/>
    <w:rsid w:val="00810526"/>
    <w:rsid w:val="0081110B"/>
    <w:rsid w:val="00811230"/>
    <w:rsid w:val="00811256"/>
    <w:rsid w:val="0081204F"/>
    <w:rsid w:val="00812357"/>
    <w:rsid w:val="00814109"/>
    <w:rsid w:val="00814E9F"/>
    <w:rsid w:val="00815189"/>
    <w:rsid w:val="00815BE6"/>
    <w:rsid w:val="0081779E"/>
    <w:rsid w:val="00817A00"/>
    <w:rsid w:val="00817AA4"/>
    <w:rsid w:val="00817FC3"/>
    <w:rsid w:val="00820592"/>
    <w:rsid w:val="00823371"/>
    <w:rsid w:val="00827E7C"/>
    <w:rsid w:val="008311B5"/>
    <w:rsid w:val="00831AAC"/>
    <w:rsid w:val="00831B16"/>
    <w:rsid w:val="0083290B"/>
    <w:rsid w:val="00835DB3"/>
    <w:rsid w:val="0083617B"/>
    <w:rsid w:val="008371BD"/>
    <w:rsid w:val="008371CD"/>
    <w:rsid w:val="00842C94"/>
    <w:rsid w:val="008430C4"/>
    <w:rsid w:val="008433E5"/>
    <w:rsid w:val="0084526D"/>
    <w:rsid w:val="0084535C"/>
    <w:rsid w:val="00845BF4"/>
    <w:rsid w:val="0085021F"/>
    <w:rsid w:val="008504A8"/>
    <w:rsid w:val="0085282E"/>
    <w:rsid w:val="0085309A"/>
    <w:rsid w:val="00853920"/>
    <w:rsid w:val="00856CCA"/>
    <w:rsid w:val="008573BD"/>
    <w:rsid w:val="00857C5C"/>
    <w:rsid w:val="00857F68"/>
    <w:rsid w:val="00860470"/>
    <w:rsid w:val="00863954"/>
    <w:rsid w:val="0086399A"/>
    <w:rsid w:val="00864122"/>
    <w:rsid w:val="00864928"/>
    <w:rsid w:val="0086552E"/>
    <w:rsid w:val="008673C3"/>
    <w:rsid w:val="00867F30"/>
    <w:rsid w:val="00870B30"/>
    <w:rsid w:val="0087198C"/>
    <w:rsid w:val="008723B5"/>
    <w:rsid w:val="00872C1F"/>
    <w:rsid w:val="00873B42"/>
    <w:rsid w:val="00875EEF"/>
    <w:rsid w:val="008765E2"/>
    <w:rsid w:val="00880368"/>
    <w:rsid w:val="008803F6"/>
    <w:rsid w:val="008816FF"/>
    <w:rsid w:val="00881E23"/>
    <w:rsid w:val="00882DBF"/>
    <w:rsid w:val="008835E1"/>
    <w:rsid w:val="00884065"/>
    <w:rsid w:val="008845D2"/>
    <w:rsid w:val="008856D8"/>
    <w:rsid w:val="00885810"/>
    <w:rsid w:val="008865F1"/>
    <w:rsid w:val="00886911"/>
    <w:rsid w:val="00886B6B"/>
    <w:rsid w:val="008875DE"/>
    <w:rsid w:val="008900A4"/>
    <w:rsid w:val="0089015C"/>
    <w:rsid w:val="00890AAE"/>
    <w:rsid w:val="00891C15"/>
    <w:rsid w:val="00891C5F"/>
    <w:rsid w:val="008925B7"/>
    <w:rsid w:val="00892E82"/>
    <w:rsid w:val="00893213"/>
    <w:rsid w:val="0089530D"/>
    <w:rsid w:val="008A1414"/>
    <w:rsid w:val="008A38CD"/>
    <w:rsid w:val="008A397B"/>
    <w:rsid w:val="008A418D"/>
    <w:rsid w:val="008A4E3C"/>
    <w:rsid w:val="008A6266"/>
    <w:rsid w:val="008A77FE"/>
    <w:rsid w:val="008B11FA"/>
    <w:rsid w:val="008B270F"/>
    <w:rsid w:val="008B4B35"/>
    <w:rsid w:val="008B4D6C"/>
    <w:rsid w:val="008B5C6B"/>
    <w:rsid w:val="008B6D40"/>
    <w:rsid w:val="008B6FF7"/>
    <w:rsid w:val="008B7664"/>
    <w:rsid w:val="008B7950"/>
    <w:rsid w:val="008C199B"/>
    <w:rsid w:val="008C1B58"/>
    <w:rsid w:val="008C39AE"/>
    <w:rsid w:val="008C417B"/>
    <w:rsid w:val="008C4861"/>
    <w:rsid w:val="008C590D"/>
    <w:rsid w:val="008D2462"/>
    <w:rsid w:val="008D4271"/>
    <w:rsid w:val="008D694A"/>
    <w:rsid w:val="008E031B"/>
    <w:rsid w:val="008E1223"/>
    <w:rsid w:val="008E33FC"/>
    <w:rsid w:val="008E376A"/>
    <w:rsid w:val="008E5EF7"/>
    <w:rsid w:val="008E6D6B"/>
    <w:rsid w:val="008E7029"/>
    <w:rsid w:val="008E7EF6"/>
    <w:rsid w:val="008F0D1D"/>
    <w:rsid w:val="008F15D6"/>
    <w:rsid w:val="008F1F98"/>
    <w:rsid w:val="008F3FC2"/>
    <w:rsid w:val="008F6758"/>
    <w:rsid w:val="009001C6"/>
    <w:rsid w:val="0090118C"/>
    <w:rsid w:val="00901D90"/>
    <w:rsid w:val="00901ED3"/>
    <w:rsid w:val="009040DD"/>
    <w:rsid w:val="0090501F"/>
    <w:rsid w:val="00905B47"/>
    <w:rsid w:val="00907D1A"/>
    <w:rsid w:val="009105EE"/>
    <w:rsid w:val="00911465"/>
    <w:rsid w:val="009119A9"/>
    <w:rsid w:val="00911F51"/>
    <w:rsid w:val="0091331C"/>
    <w:rsid w:val="00913F13"/>
    <w:rsid w:val="00915673"/>
    <w:rsid w:val="00921959"/>
    <w:rsid w:val="00922E1E"/>
    <w:rsid w:val="009259B6"/>
    <w:rsid w:val="00925DC5"/>
    <w:rsid w:val="009279DE"/>
    <w:rsid w:val="00930116"/>
    <w:rsid w:val="0093062E"/>
    <w:rsid w:val="00937524"/>
    <w:rsid w:val="0094105F"/>
    <w:rsid w:val="0094212C"/>
    <w:rsid w:val="009423C6"/>
    <w:rsid w:val="009432DF"/>
    <w:rsid w:val="00944F55"/>
    <w:rsid w:val="00947C50"/>
    <w:rsid w:val="00951B0A"/>
    <w:rsid w:val="0095280B"/>
    <w:rsid w:val="00954689"/>
    <w:rsid w:val="00954A08"/>
    <w:rsid w:val="00954D8E"/>
    <w:rsid w:val="00954E7F"/>
    <w:rsid w:val="0095533C"/>
    <w:rsid w:val="009617C9"/>
    <w:rsid w:val="009619E0"/>
    <w:rsid w:val="00961B07"/>
    <w:rsid w:val="00961C93"/>
    <w:rsid w:val="00962667"/>
    <w:rsid w:val="00964084"/>
    <w:rsid w:val="00965324"/>
    <w:rsid w:val="00970028"/>
    <w:rsid w:val="0097091E"/>
    <w:rsid w:val="00971736"/>
    <w:rsid w:val="009728C3"/>
    <w:rsid w:val="0097309E"/>
    <w:rsid w:val="00974658"/>
    <w:rsid w:val="009760D3"/>
    <w:rsid w:val="00976FF4"/>
    <w:rsid w:val="00977132"/>
    <w:rsid w:val="00981A4B"/>
    <w:rsid w:val="00982501"/>
    <w:rsid w:val="00983E77"/>
    <w:rsid w:val="00985878"/>
    <w:rsid w:val="009867C4"/>
    <w:rsid w:val="009877D3"/>
    <w:rsid w:val="0099100C"/>
    <w:rsid w:val="009922AE"/>
    <w:rsid w:val="0099294F"/>
    <w:rsid w:val="00994388"/>
    <w:rsid w:val="00994E8F"/>
    <w:rsid w:val="009951DC"/>
    <w:rsid w:val="009959BB"/>
    <w:rsid w:val="009968E4"/>
    <w:rsid w:val="00997158"/>
    <w:rsid w:val="009A054C"/>
    <w:rsid w:val="009A08A3"/>
    <w:rsid w:val="009A0C91"/>
    <w:rsid w:val="009A3798"/>
    <w:rsid w:val="009A3A7C"/>
    <w:rsid w:val="009A4142"/>
    <w:rsid w:val="009B0AFE"/>
    <w:rsid w:val="009B1B17"/>
    <w:rsid w:val="009B2ADB"/>
    <w:rsid w:val="009B377C"/>
    <w:rsid w:val="009B42C5"/>
    <w:rsid w:val="009B4473"/>
    <w:rsid w:val="009B541B"/>
    <w:rsid w:val="009B5D02"/>
    <w:rsid w:val="009B603A"/>
    <w:rsid w:val="009B7E42"/>
    <w:rsid w:val="009C0329"/>
    <w:rsid w:val="009C04DE"/>
    <w:rsid w:val="009C207E"/>
    <w:rsid w:val="009C275A"/>
    <w:rsid w:val="009C2D0E"/>
    <w:rsid w:val="009C3DAC"/>
    <w:rsid w:val="009C42E0"/>
    <w:rsid w:val="009C45D4"/>
    <w:rsid w:val="009C7E90"/>
    <w:rsid w:val="009D19FE"/>
    <w:rsid w:val="009D3D28"/>
    <w:rsid w:val="009D3FAD"/>
    <w:rsid w:val="009D4F3D"/>
    <w:rsid w:val="009D5362"/>
    <w:rsid w:val="009D7850"/>
    <w:rsid w:val="009E00D1"/>
    <w:rsid w:val="009E1415"/>
    <w:rsid w:val="009E150A"/>
    <w:rsid w:val="009E1BC8"/>
    <w:rsid w:val="009E1D93"/>
    <w:rsid w:val="009E3A42"/>
    <w:rsid w:val="009E3C37"/>
    <w:rsid w:val="009E4A0B"/>
    <w:rsid w:val="009E4A89"/>
    <w:rsid w:val="009E6116"/>
    <w:rsid w:val="009F037A"/>
    <w:rsid w:val="009F03A4"/>
    <w:rsid w:val="009F129A"/>
    <w:rsid w:val="009F1B4C"/>
    <w:rsid w:val="009F20FB"/>
    <w:rsid w:val="009F2217"/>
    <w:rsid w:val="009F285B"/>
    <w:rsid w:val="009F28E1"/>
    <w:rsid w:val="009F384E"/>
    <w:rsid w:val="009F48F4"/>
    <w:rsid w:val="009F4B74"/>
    <w:rsid w:val="009F5224"/>
    <w:rsid w:val="00A02E43"/>
    <w:rsid w:val="00A03D4D"/>
    <w:rsid w:val="00A0530A"/>
    <w:rsid w:val="00A0541D"/>
    <w:rsid w:val="00A05B39"/>
    <w:rsid w:val="00A064A5"/>
    <w:rsid w:val="00A065F9"/>
    <w:rsid w:val="00A07242"/>
    <w:rsid w:val="00A07F34"/>
    <w:rsid w:val="00A10E76"/>
    <w:rsid w:val="00A11323"/>
    <w:rsid w:val="00A11DF8"/>
    <w:rsid w:val="00A11EC7"/>
    <w:rsid w:val="00A130B9"/>
    <w:rsid w:val="00A13398"/>
    <w:rsid w:val="00A1342A"/>
    <w:rsid w:val="00A140D3"/>
    <w:rsid w:val="00A152AB"/>
    <w:rsid w:val="00A16411"/>
    <w:rsid w:val="00A17F4B"/>
    <w:rsid w:val="00A21357"/>
    <w:rsid w:val="00A21703"/>
    <w:rsid w:val="00A22154"/>
    <w:rsid w:val="00A228DE"/>
    <w:rsid w:val="00A22B95"/>
    <w:rsid w:val="00A22D45"/>
    <w:rsid w:val="00A25C38"/>
    <w:rsid w:val="00A274DD"/>
    <w:rsid w:val="00A27C06"/>
    <w:rsid w:val="00A33414"/>
    <w:rsid w:val="00A34FBF"/>
    <w:rsid w:val="00A35938"/>
    <w:rsid w:val="00A36BBE"/>
    <w:rsid w:val="00A36BEF"/>
    <w:rsid w:val="00A408D5"/>
    <w:rsid w:val="00A4212E"/>
    <w:rsid w:val="00A4307A"/>
    <w:rsid w:val="00A436E1"/>
    <w:rsid w:val="00A43893"/>
    <w:rsid w:val="00A44A8F"/>
    <w:rsid w:val="00A45C14"/>
    <w:rsid w:val="00A45FF5"/>
    <w:rsid w:val="00A46384"/>
    <w:rsid w:val="00A46951"/>
    <w:rsid w:val="00A47EBB"/>
    <w:rsid w:val="00A503EC"/>
    <w:rsid w:val="00A5168F"/>
    <w:rsid w:val="00A51CDD"/>
    <w:rsid w:val="00A53496"/>
    <w:rsid w:val="00A54967"/>
    <w:rsid w:val="00A549A9"/>
    <w:rsid w:val="00A55673"/>
    <w:rsid w:val="00A55A02"/>
    <w:rsid w:val="00A56964"/>
    <w:rsid w:val="00A5738A"/>
    <w:rsid w:val="00A608EB"/>
    <w:rsid w:val="00A632E0"/>
    <w:rsid w:val="00A63D17"/>
    <w:rsid w:val="00A64D1D"/>
    <w:rsid w:val="00A65C3A"/>
    <w:rsid w:val="00A6730D"/>
    <w:rsid w:val="00A678A1"/>
    <w:rsid w:val="00A71625"/>
    <w:rsid w:val="00A71B9B"/>
    <w:rsid w:val="00A73BCF"/>
    <w:rsid w:val="00A751C7"/>
    <w:rsid w:val="00A75B9A"/>
    <w:rsid w:val="00A80039"/>
    <w:rsid w:val="00A80777"/>
    <w:rsid w:val="00A80BD5"/>
    <w:rsid w:val="00A83CA0"/>
    <w:rsid w:val="00A8419B"/>
    <w:rsid w:val="00A854B0"/>
    <w:rsid w:val="00A86224"/>
    <w:rsid w:val="00A87844"/>
    <w:rsid w:val="00A87BB6"/>
    <w:rsid w:val="00A9110A"/>
    <w:rsid w:val="00A948AF"/>
    <w:rsid w:val="00A958E7"/>
    <w:rsid w:val="00A96953"/>
    <w:rsid w:val="00A97A45"/>
    <w:rsid w:val="00AA038C"/>
    <w:rsid w:val="00AA0FEE"/>
    <w:rsid w:val="00AA376C"/>
    <w:rsid w:val="00AA493C"/>
    <w:rsid w:val="00AA4CBB"/>
    <w:rsid w:val="00AA613E"/>
    <w:rsid w:val="00AA701A"/>
    <w:rsid w:val="00AA7457"/>
    <w:rsid w:val="00AA7A09"/>
    <w:rsid w:val="00AB000C"/>
    <w:rsid w:val="00AB3B50"/>
    <w:rsid w:val="00AB6DB7"/>
    <w:rsid w:val="00AB798F"/>
    <w:rsid w:val="00AB7C0B"/>
    <w:rsid w:val="00AC05B1"/>
    <w:rsid w:val="00AC0B39"/>
    <w:rsid w:val="00AC0F31"/>
    <w:rsid w:val="00AC2684"/>
    <w:rsid w:val="00AC2A08"/>
    <w:rsid w:val="00AC2DE1"/>
    <w:rsid w:val="00AC3460"/>
    <w:rsid w:val="00AC63BE"/>
    <w:rsid w:val="00AC6A0C"/>
    <w:rsid w:val="00AD0482"/>
    <w:rsid w:val="00AD15F7"/>
    <w:rsid w:val="00AD17C0"/>
    <w:rsid w:val="00AD196D"/>
    <w:rsid w:val="00AD1A1D"/>
    <w:rsid w:val="00AD2CE3"/>
    <w:rsid w:val="00AD356C"/>
    <w:rsid w:val="00AD3A4E"/>
    <w:rsid w:val="00AD6FC6"/>
    <w:rsid w:val="00AD78C2"/>
    <w:rsid w:val="00AE2914"/>
    <w:rsid w:val="00AE332D"/>
    <w:rsid w:val="00AE4CAA"/>
    <w:rsid w:val="00AE65DC"/>
    <w:rsid w:val="00AE66BD"/>
    <w:rsid w:val="00AE6D15"/>
    <w:rsid w:val="00AE7179"/>
    <w:rsid w:val="00AE7CE8"/>
    <w:rsid w:val="00AF1648"/>
    <w:rsid w:val="00AF19C1"/>
    <w:rsid w:val="00AF71ED"/>
    <w:rsid w:val="00B0148C"/>
    <w:rsid w:val="00B040CC"/>
    <w:rsid w:val="00B04182"/>
    <w:rsid w:val="00B05F61"/>
    <w:rsid w:val="00B07267"/>
    <w:rsid w:val="00B07AE3"/>
    <w:rsid w:val="00B07E12"/>
    <w:rsid w:val="00B10687"/>
    <w:rsid w:val="00B11430"/>
    <w:rsid w:val="00B11D83"/>
    <w:rsid w:val="00B14B27"/>
    <w:rsid w:val="00B17ADC"/>
    <w:rsid w:val="00B21D0D"/>
    <w:rsid w:val="00B23748"/>
    <w:rsid w:val="00B26255"/>
    <w:rsid w:val="00B26A5F"/>
    <w:rsid w:val="00B31A44"/>
    <w:rsid w:val="00B32F73"/>
    <w:rsid w:val="00B33BBD"/>
    <w:rsid w:val="00B34908"/>
    <w:rsid w:val="00B34AA8"/>
    <w:rsid w:val="00B34C05"/>
    <w:rsid w:val="00B34CEF"/>
    <w:rsid w:val="00B353EB"/>
    <w:rsid w:val="00B35AFC"/>
    <w:rsid w:val="00B3628E"/>
    <w:rsid w:val="00B36356"/>
    <w:rsid w:val="00B37EED"/>
    <w:rsid w:val="00B42BEF"/>
    <w:rsid w:val="00B43459"/>
    <w:rsid w:val="00B439C4"/>
    <w:rsid w:val="00B44033"/>
    <w:rsid w:val="00B4446F"/>
    <w:rsid w:val="00B44FC4"/>
    <w:rsid w:val="00B4535E"/>
    <w:rsid w:val="00B460E0"/>
    <w:rsid w:val="00B52A70"/>
    <w:rsid w:val="00B52A8C"/>
    <w:rsid w:val="00B53A95"/>
    <w:rsid w:val="00B54AB5"/>
    <w:rsid w:val="00B56612"/>
    <w:rsid w:val="00B57A8B"/>
    <w:rsid w:val="00B61CA6"/>
    <w:rsid w:val="00B623AF"/>
    <w:rsid w:val="00B62776"/>
    <w:rsid w:val="00B6345A"/>
    <w:rsid w:val="00B636A8"/>
    <w:rsid w:val="00B6467F"/>
    <w:rsid w:val="00B65276"/>
    <w:rsid w:val="00B665C6"/>
    <w:rsid w:val="00B66B12"/>
    <w:rsid w:val="00B67665"/>
    <w:rsid w:val="00B676CF"/>
    <w:rsid w:val="00B70A53"/>
    <w:rsid w:val="00B71F63"/>
    <w:rsid w:val="00B747F2"/>
    <w:rsid w:val="00B7506D"/>
    <w:rsid w:val="00B756A4"/>
    <w:rsid w:val="00B76321"/>
    <w:rsid w:val="00B763E0"/>
    <w:rsid w:val="00B805AF"/>
    <w:rsid w:val="00B80680"/>
    <w:rsid w:val="00B80E3D"/>
    <w:rsid w:val="00B8212E"/>
    <w:rsid w:val="00B83F26"/>
    <w:rsid w:val="00B851B6"/>
    <w:rsid w:val="00B869EC"/>
    <w:rsid w:val="00B86ACF"/>
    <w:rsid w:val="00B9087D"/>
    <w:rsid w:val="00B93086"/>
    <w:rsid w:val="00B9397A"/>
    <w:rsid w:val="00B94D3E"/>
    <w:rsid w:val="00B94F64"/>
    <w:rsid w:val="00B9531A"/>
    <w:rsid w:val="00B9633D"/>
    <w:rsid w:val="00BA07B8"/>
    <w:rsid w:val="00BA0B75"/>
    <w:rsid w:val="00BA1356"/>
    <w:rsid w:val="00BA1AB9"/>
    <w:rsid w:val="00BA2599"/>
    <w:rsid w:val="00BA2DBF"/>
    <w:rsid w:val="00BA2EBE"/>
    <w:rsid w:val="00BA4DEC"/>
    <w:rsid w:val="00BA7553"/>
    <w:rsid w:val="00BB0F28"/>
    <w:rsid w:val="00BB1EF9"/>
    <w:rsid w:val="00BB29B0"/>
    <w:rsid w:val="00BB2F13"/>
    <w:rsid w:val="00BB2FDF"/>
    <w:rsid w:val="00BB33F9"/>
    <w:rsid w:val="00BB414F"/>
    <w:rsid w:val="00BB458A"/>
    <w:rsid w:val="00BB5B52"/>
    <w:rsid w:val="00BB6407"/>
    <w:rsid w:val="00BB7C8B"/>
    <w:rsid w:val="00BB7FDE"/>
    <w:rsid w:val="00BC1AD8"/>
    <w:rsid w:val="00BC266B"/>
    <w:rsid w:val="00BC2D37"/>
    <w:rsid w:val="00BC3FF2"/>
    <w:rsid w:val="00BC4346"/>
    <w:rsid w:val="00BC53C6"/>
    <w:rsid w:val="00BC5F3A"/>
    <w:rsid w:val="00BC6674"/>
    <w:rsid w:val="00BC6A2B"/>
    <w:rsid w:val="00BC721D"/>
    <w:rsid w:val="00BC7634"/>
    <w:rsid w:val="00BD00D3"/>
    <w:rsid w:val="00BD1659"/>
    <w:rsid w:val="00BD3AA9"/>
    <w:rsid w:val="00BD4A18"/>
    <w:rsid w:val="00BD4EDF"/>
    <w:rsid w:val="00BD593F"/>
    <w:rsid w:val="00BD6DB2"/>
    <w:rsid w:val="00BD71C2"/>
    <w:rsid w:val="00BE029B"/>
    <w:rsid w:val="00BE11CF"/>
    <w:rsid w:val="00BE1F7F"/>
    <w:rsid w:val="00BE20C1"/>
    <w:rsid w:val="00BE21AB"/>
    <w:rsid w:val="00BE2243"/>
    <w:rsid w:val="00BE2D2B"/>
    <w:rsid w:val="00BE300E"/>
    <w:rsid w:val="00BE41ED"/>
    <w:rsid w:val="00BE55CB"/>
    <w:rsid w:val="00BE62FD"/>
    <w:rsid w:val="00BE6815"/>
    <w:rsid w:val="00BF0AD6"/>
    <w:rsid w:val="00BF3C3C"/>
    <w:rsid w:val="00BF426B"/>
    <w:rsid w:val="00BF42A1"/>
    <w:rsid w:val="00BF5B5C"/>
    <w:rsid w:val="00BF5F96"/>
    <w:rsid w:val="00BF617A"/>
    <w:rsid w:val="00BF6FCE"/>
    <w:rsid w:val="00C0379D"/>
    <w:rsid w:val="00C03931"/>
    <w:rsid w:val="00C056EC"/>
    <w:rsid w:val="00C05FE3"/>
    <w:rsid w:val="00C06BEC"/>
    <w:rsid w:val="00C1044A"/>
    <w:rsid w:val="00C14FAE"/>
    <w:rsid w:val="00C150BB"/>
    <w:rsid w:val="00C17272"/>
    <w:rsid w:val="00C2136D"/>
    <w:rsid w:val="00C214EE"/>
    <w:rsid w:val="00C21BF9"/>
    <w:rsid w:val="00C2314B"/>
    <w:rsid w:val="00C24971"/>
    <w:rsid w:val="00C25A3C"/>
    <w:rsid w:val="00C268E9"/>
    <w:rsid w:val="00C26BE5"/>
    <w:rsid w:val="00C26E4D"/>
    <w:rsid w:val="00C277F2"/>
    <w:rsid w:val="00C27909"/>
    <w:rsid w:val="00C27B03"/>
    <w:rsid w:val="00C30BDA"/>
    <w:rsid w:val="00C314E1"/>
    <w:rsid w:val="00C325EC"/>
    <w:rsid w:val="00C3399A"/>
    <w:rsid w:val="00C34397"/>
    <w:rsid w:val="00C36C91"/>
    <w:rsid w:val="00C37252"/>
    <w:rsid w:val="00C3788B"/>
    <w:rsid w:val="00C40425"/>
    <w:rsid w:val="00C4095D"/>
    <w:rsid w:val="00C40CE1"/>
    <w:rsid w:val="00C41B7E"/>
    <w:rsid w:val="00C448D3"/>
    <w:rsid w:val="00C457DA"/>
    <w:rsid w:val="00C45BF7"/>
    <w:rsid w:val="00C53BE0"/>
    <w:rsid w:val="00C53F17"/>
    <w:rsid w:val="00C54904"/>
    <w:rsid w:val="00C557CC"/>
    <w:rsid w:val="00C55DA5"/>
    <w:rsid w:val="00C56094"/>
    <w:rsid w:val="00C56557"/>
    <w:rsid w:val="00C57BAA"/>
    <w:rsid w:val="00C601D2"/>
    <w:rsid w:val="00C60237"/>
    <w:rsid w:val="00C622E9"/>
    <w:rsid w:val="00C62605"/>
    <w:rsid w:val="00C62FBF"/>
    <w:rsid w:val="00C64C7B"/>
    <w:rsid w:val="00C65BCC"/>
    <w:rsid w:val="00C66970"/>
    <w:rsid w:val="00C70FCC"/>
    <w:rsid w:val="00C71A2A"/>
    <w:rsid w:val="00C71D65"/>
    <w:rsid w:val="00C72E7A"/>
    <w:rsid w:val="00C738D8"/>
    <w:rsid w:val="00C74CF3"/>
    <w:rsid w:val="00C750FE"/>
    <w:rsid w:val="00C76D5B"/>
    <w:rsid w:val="00C82F6B"/>
    <w:rsid w:val="00C8691C"/>
    <w:rsid w:val="00C871A5"/>
    <w:rsid w:val="00C874A8"/>
    <w:rsid w:val="00C9013A"/>
    <w:rsid w:val="00C901A9"/>
    <w:rsid w:val="00C90D53"/>
    <w:rsid w:val="00C94725"/>
    <w:rsid w:val="00C94943"/>
    <w:rsid w:val="00C94A6F"/>
    <w:rsid w:val="00C94AE8"/>
    <w:rsid w:val="00C94D55"/>
    <w:rsid w:val="00C97555"/>
    <w:rsid w:val="00C97D94"/>
    <w:rsid w:val="00CA168A"/>
    <w:rsid w:val="00CA1DFA"/>
    <w:rsid w:val="00CA3302"/>
    <w:rsid w:val="00CA357E"/>
    <w:rsid w:val="00CA44F9"/>
    <w:rsid w:val="00CA4511"/>
    <w:rsid w:val="00CA4A69"/>
    <w:rsid w:val="00CA5151"/>
    <w:rsid w:val="00CA65E4"/>
    <w:rsid w:val="00CB37FC"/>
    <w:rsid w:val="00CB3C56"/>
    <w:rsid w:val="00CC0324"/>
    <w:rsid w:val="00CC062F"/>
    <w:rsid w:val="00CC20E7"/>
    <w:rsid w:val="00CC38A0"/>
    <w:rsid w:val="00CC3D71"/>
    <w:rsid w:val="00CC3E0C"/>
    <w:rsid w:val="00CC4720"/>
    <w:rsid w:val="00CC58D3"/>
    <w:rsid w:val="00CC591E"/>
    <w:rsid w:val="00CC6E72"/>
    <w:rsid w:val="00CC72A8"/>
    <w:rsid w:val="00CC784D"/>
    <w:rsid w:val="00CD0759"/>
    <w:rsid w:val="00CD178F"/>
    <w:rsid w:val="00CD3F37"/>
    <w:rsid w:val="00CD53F7"/>
    <w:rsid w:val="00CD67A0"/>
    <w:rsid w:val="00CD67AB"/>
    <w:rsid w:val="00CE17BA"/>
    <w:rsid w:val="00CE3A76"/>
    <w:rsid w:val="00CE3E50"/>
    <w:rsid w:val="00CE6F0A"/>
    <w:rsid w:val="00CE6FA2"/>
    <w:rsid w:val="00CF22CA"/>
    <w:rsid w:val="00CF589E"/>
    <w:rsid w:val="00CF5913"/>
    <w:rsid w:val="00CF68D7"/>
    <w:rsid w:val="00CF7AF4"/>
    <w:rsid w:val="00D01390"/>
    <w:rsid w:val="00D01952"/>
    <w:rsid w:val="00D031DE"/>
    <w:rsid w:val="00D032BE"/>
    <w:rsid w:val="00D0337B"/>
    <w:rsid w:val="00D040EC"/>
    <w:rsid w:val="00D045E3"/>
    <w:rsid w:val="00D06A21"/>
    <w:rsid w:val="00D06FD0"/>
    <w:rsid w:val="00D070E7"/>
    <w:rsid w:val="00D079B2"/>
    <w:rsid w:val="00D07DA6"/>
    <w:rsid w:val="00D114E9"/>
    <w:rsid w:val="00D135C5"/>
    <w:rsid w:val="00D16AD5"/>
    <w:rsid w:val="00D2077C"/>
    <w:rsid w:val="00D20787"/>
    <w:rsid w:val="00D221C7"/>
    <w:rsid w:val="00D2360C"/>
    <w:rsid w:val="00D25E22"/>
    <w:rsid w:val="00D26E44"/>
    <w:rsid w:val="00D3331D"/>
    <w:rsid w:val="00D346E3"/>
    <w:rsid w:val="00D346FC"/>
    <w:rsid w:val="00D36412"/>
    <w:rsid w:val="00D36896"/>
    <w:rsid w:val="00D41B78"/>
    <w:rsid w:val="00D42093"/>
    <w:rsid w:val="00D429C6"/>
    <w:rsid w:val="00D438F4"/>
    <w:rsid w:val="00D44108"/>
    <w:rsid w:val="00D46DCF"/>
    <w:rsid w:val="00D47748"/>
    <w:rsid w:val="00D47966"/>
    <w:rsid w:val="00D47F87"/>
    <w:rsid w:val="00D47FB1"/>
    <w:rsid w:val="00D51779"/>
    <w:rsid w:val="00D53161"/>
    <w:rsid w:val="00D54C3A"/>
    <w:rsid w:val="00D54CC3"/>
    <w:rsid w:val="00D55F95"/>
    <w:rsid w:val="00D5667A"/>
    <w:rsid w:val="00D567E1"/>
    <w:rsid w:val="00D6041A"/>
    <w:rsid w:val="00D6172D"/>
    <w:rsid w:val="00D62BEF"/>
    <w:rsid w:val="00D633EB"/>
    <w:rsid w:val="00D636CC"/>
    <w:rsid w:val="00D70B38"/>
    <w:rsid w:val="00D72AC4"/>
    <w:rsid w:val="00D77DF0"/>
    <w:rsid w:val="00D81115"/>
    <w:rsid w:val="00D8153B"/>
    <w:rsid w:val="00D815B0"/>
    <w:rsid w:val="00D819A7"/>
    <w:rsid w:val="00D826B4"/>
    <w:rsid w:val="00D82D62"/>
    <w:rsid w:val="00D82FF7"/>
    <w:rsid w:val="00D8341E"/>
    <w:rsid w:val="00D8447F"/>
    <w:rsid w:val="00D847FE"/>
    <w:rsid w:val="00D84931"/>
    <w:rsid w:val="00D91D75"/>
    <w:rsid w:val="00D944EF"/>
    <w:rsid w:val="00D95959"/>
    <w:rsid w:val="00D964EA"/>
    <w:rsid w:val="00D966D0"/>
    <w:rsid w:val="00D97497"/>
    <w:rsid w:val="00D976E1"/>
    <w:rsid w:val="00D97B91"/>
    <w:rsid w:val="00D97FC7"/>
    <w:rsid w:val="00DA0C59"/>
    <w:rsid w:val="00DA3991"/>
    <w:rsid w:val="00DB0990"/>
    <w:rsid w:val="00DB0C4B"/>
    <w:rsid w:val="00DB1D2D"/>
    <w:rsid w:val="00DB1F45"/>
    <w:rsid w:val="00DB5D0E"/>
    <w:rsid w:val="00DB6BCC"/>
    <w:rsid w:val="00DB7859"/>
    <w:rsid w:val="00DB7E6C"/>
    <w:rsid w:val="00DC0B1C"/>
    <w:rsid w:val="00DC6D87"/>
    <w:rsid w:val="00DC71A9"/>
    <w:rsid w:val="00DC794F"/>
    <w:rsid w:val="00DD06D8"/>
    <w:rsid w:val="00DD097F"/>
    <w:rsid w:val="00DD305D"/>
    <w:rsid w:val="00DD3D6D"/>
    <w:rsid w:val="00DD4B15"/>
    <w:rsid w:val="00DD5047"/>
    <w:rsid w:val="00DD5168"/>
    <w:rsid w:val="00DD5202"/>
    <w:rsid w:val="00DD5A29"/>
    <w:rsid w:val="00DD5D9D"/>
    <w:rsid w:val="00DD75C8"/>
    <w:rsid w:val="00DD7C53"/>
    <w:rsid w:val="00DE2BFF"/>
    <w:rsid w:val="00DE2CAA"/>
    <w:rsid w:val="00DE35CB"/>
    <w:rsid w:val="00DE3FEF"/>
    <w:rsid w:val="00DF0A07"/>
    <w:rsid w:val="00DF1312"/>
    <w:rsid w:val="00DF21E9"/>
    <w:rsid w:val="00DF2B10"/>
    <w:rsid w:val="00DF2D7A"/>
    <w:rsid w:val="00DF3BE5"/>
    <w:rsid w:val="00DF40A2"/>
    <w:rsid w:val="00DF4143"/>
    <w:rsid w:val="00DF45BE"/>
    <w:rsid w:val="00DF6D55"/>
    <w:rsid w:val="00DF7704"/>
    <w:rsid w:val="00DF7E34"/>
    <w:rsid w:val="00E00F14"/>
    <w:rsid w:val="00E060B3"/>
    <w:rsid w:val="00E06386"/>
    <w:rsid w:val="00E07478"/>
    <w:rsid w:val="00E11EA9"/>
    <w:rsid w:val="00E131D8"/>
    <w:rsid w:val="00E15C21"/>
    <w:rsid w:val="00E17FE3"/>
    <w:rsid w:val="00E2018E"/>
    <w:rsid w:val="00E203E9"/>
    <w:rsid w:val="00E230AB"/>
    <w:rsid w:val="00E23B22"/>
    <w:rsid w:val="00E24EB4"/>
    <w:rsid w:val="00E320ED"/>
    <w:rsid w:val="00E32611"/>
    <w:rsid w:val="00E333B5"/>
    <w:rsid w:val="00E33A1E"/>
    <w:rsid w:val="00E33AFB"/>
    <w:rsid w:val="00E34218"/>
    <w:rsid w:val="00E3541B"/>
    <w:rsid w:val="00E35761"/>
    <w:rsid w:val="00E35BF2"/>
    <w:rsid w:val="00E35CA0"/>
    <w:rsid w:val="00E36DA2"/>
    <w:rsid w:val="00E36F1E"/>
    <w:rsid w:val="00E3704D"/>
    <w:rsid w:val="00E37340"/>
    <w:rsid w:val="00E37BE3"/>
    <w:rsid w:val="00E37BEB"/>
    <w:rsid w:val="00E42309"/>
    <w:rsid w:val="00E444FA"/>
    <w:rsid w:val="00E45EF4"/>
    <w:rsid w:val="00E46282"/>
    <w:rsid w:val="00E4688B"/>
    <w:rsid w:val="00E50110"/>
    <w:rsid w:val="00E50F60"/>
    <w:rsid w:val="00E51436"/>
    <w:rsid w:val="00E5209A"/>
    <w:rsid w:val="00E5216E"/>
    <w:rsid w:val="00E535FD"/>
    <w:rsid w:val="00E54811"/>
    <w:rsid w:val="00E5699F"/>
    <w:rsid w:val="00E608A2"/>
    <w:rsid w:val="00E62E46"/>
    <w:rsid w:val="00E63ED9"/>
    <w:rsid w:val="00E671FD"/>
    <w:rsid w:val="00E71AAC"/>
    <w:rsid w:val="00E72718"/>
    <w:rsid w:val="00E73F0F"/>
    <w:rsid w:val="00E74B32"/>
    <w:rsid w:val="00E75A3E"/>
    <w:rsid w:val="00E75C92"/>
    <w:rsid w:val="00E77A51"/>
    <w:rsid w:val="00E80CF3"/>
    <w:rsid w:val="00E82344"/>
    <w:rsid w:val="00E82608"/>
    <w:rsid w:val="00E838BC"/>
    <w:rsid w:val="00E83B56"/>
    <w:rsid w:val="00E84639"/>
    <w:rsid w:val="00E84A5A"/>
    <w:rsid w:val="00E84BA1"/>
    <w:rsid w:val="00E84C82"/>
    <w:rsid w:val="00E84D64"/>
    <w:rsid w:val="00E86AA9"/>
    <w:rsid w:val="00E87408"/>
    <w:rsid w:val="00E87C13"/>
    <w:rsid w:val="00E91400"/>
    <w:rsid w:val="00E914C4"/>
    <w:rsid w:val="00E919E7"/>
    <w:rsid w:val="00E91ACD"/>
    <w:rsid w:val="00E934F5"/>
    <w:rsid w:val="00E940FA"/>
    <w:rsid w:val="00E96961"/>
    <w:rsid w:val="00E97C08"/>
    <w:rsid w:val="00EA03C0"/>
    <w:rsid w:val="00EA068C"/>
    <w:rsid w:val="00EA264A"/>
    <w:rsid w:val="00EA2CAB"/>
    <w:rsid w:val="00EA3B67"/>
    <w:rsid w:val="00EA65FA"/>
    <w:rsid w:val="00EA6E82"/>
    <w:rsid w:val="00EA72EC"/>
    <w:rsid w:val="00EA740E"/>
    <w:rsid w:val="00EB11CB"/>
    <w:rsid w:val="00EB275A"/>
    <w:rsid w:val="00EB3774"/>
    <w:rsid w:val="00EB4C54"/>
    <w:rsid w:val="00EB786A"/>
    <w:rsid w:val="00EB7BC2"/>
    <w:rsid w:val="00EB7CC0"/>
    <w:rsid w:val="00EB7EF6"/>
    <w:rsid w:val="00EC0CF5"/>
    <w:rsid w:val="00EC1578"/>
    <w:rsid w:val="00EC1C72"/>
    <w:rsid w:val="00EC2A60"/>
    <w:rsid w:val="00EC3834"/>
    <w:rsid w:val="00EC3CC9"/>
    <w:rsid w:val="00EC3D36"/>
    <w:rsid w:val="00EC48F2"/>
    <w:rsid w:val="00EC5132"/>
    <w:rsid w:val="00EC680A"/>
    <w:rsid w:val="00EC710E"/>
    <w:rsid w:val="00EC7229"/>
    <w:rsid w:val="00EC7D25"/>
    <w:rsid w:val="00ED4F27"/>
    <w:rsid w:val="00ED5010"/>
    <w:rsid w:val="00ED5722"/>
    <w:rsid w:val="00ED7614"/>
    <w:rsid w:val="00EE16EA"/>
    <w:rsid w:val="00EE2BED"/>
    <w:rsid w:val="00EE3424"/>
    <w:rsid w:val="00EE3448"/>
    <w:rsid w:val="00EE374B"/>
    <w:rsid w:val="00EE40AA"/>
    <w:rsid w:val="00EE4AFE"/>
    <w:rsid w:val="00EE552A"/>
    <w:rsid w:val="00EE67E9"/>
    <w:rsid w:val="00EF0051"/>
    <w:rsid w:val="00EF0289"/>
    <w:rsid w:val="00EF26D7"/>
    <w:rsid w:val="00EF45DD"/>
    <w:rsid w:val="00EF4C28"/>
    <w:rsid w:val="00EF7FDE"/>
    <w:rsid w:val="00F01A60"/>
    <w:rsid w:val="00F01F68"/>
    <w:rsid w:val="00F023F5"/>
    <w:rsid w:val="00F02CE3"/>
    <w:rsid w:val="00F033CA"/>
    <w:rsid w:val="00F044E6"/>
    <w:rsid w:val="00F0577E"/>
    <w:rsid w:val="00F06841"/>
    <w:rsid w:val="00F108F7"/>
    <w:rsid w:val="00F10A5C"/>
    <w:rsid w:val="00F11BB5"/>
    <w:rsid w:val="00F12F64"/>
    <w:rsid w:val="00F13373"/>
    <w:rsid w:val="00F1382C"/>
    <w:rsid w:val="00F1417B"/>
    <w:rsid w:val="00F14AE7"/>
    <w:rsid w:val="00F167A7"/>
    <w:rsid w:val="00F1712B"/>
    <w:rsid w:val="00F1723F"/>
    <w:rsid w:val="00F2389D"/>
    <w:rsid w:val="00F23F0B"/>
    <w:rsid w:val="00F2402B"/>
    <w:rsid w:val="00F24E5D"/>
    <w:rsid w:val="00F27B37"/>
    <w:rsid w:val="00F303E1"/>
    <w:rsid w:val="00F3053A"/>
    <w:rsid w:val="00F306D8"/>
    <w:rsid w:val="00F32842"/>
    <w:rsid w:val="00F34B99"/>
    <w:rsid w:val="00F354A7"/>
    <w:rsid w:val="00F35BEC"/>
    <w:rsid w:val="00F35EF8"/>
    <w:rsid w:val="00F36146"/>
    <w:rsid w:val="00F37594"/>
    <w:rsid w:val="00F37A22"/>
    <w:rsid w:val="00F438D5"/>
    <w:rsid w:val="00F439A3"/>
    <w:rsid w:val="00F43E1C"/>
    <w:rsid w:val="00F4410B"/>
    <w:rsid w:val="00F4613D"/>
    <w:rsid w:val="00F4628F"/>
    <w:rsid w:val="00F4775F"/>
    <w:rsid w:val="00F47DFB"/>
    <w:rsid w:val="00F50B18"/>
    <w:rsid w:val="00F51964"/>
    <w:rsid w:val="00F52528"/>
    <w:rsid w:val="00F52DAB"/>
    <w:rsid w:val="00F52F47"/>
    <w:rsid w:val="00F54045"/>
    <w:rsid w:val="00F543F0"/>
    <w:rsid w:val="00F54CE3"/>
    <w:rsid w:val="00F56501"/>
    <w:rsid w:val="00F62FA8"/>
    <w:rsid w:val="00F63C19"/>
    <w:rsid w:val="00F63EFE"/>
    <w:rsid w:val="00F64F38"/>
    <w:rsid w:val="00F67BAB"/>
    <w:rsid w:val="00F67EC9"/>
    <w:rsid w:val="00F71D46"/>
    <w:rsid w:val="00F74DA9"/>
    <w:rsid w:val="00F74F3E"/>
    <w:rsid w:val="00F75738"/>
    <w:rsid w:val="00F7641D"/>
    <w:rsid w:val="00F770BA"/>
    <w:rsid w:val="00F77E74"/>
    <w:rsid w:val="00F80175"/>
    <w:rsid w:val="00F81016"/>
    <w:rsid w:val="00F81D29"/>
    <w:rsid w:val="00F8240F"/>
    <w:rsid w:val="00F824F3"/>
    <w:rsid w:val="00F84B18"/>
    <w:rsid w:val="00F87070"/>
    <w:rsid w:val="00F87A32"/>
    <w:rsid w:val="00F91674"/>
    <w:rsid w:val="00F91C4D"/>
    <w:rsid w:val="00F92BC9"/>
    <w:rsid w:val="00F92FD9"/>
    <w:rsid w:val="00F94464"/>
    <w:rsid w:val="00F96D51"/>
    <w:rsid w:val="00F97C81"/>
    <w:rsid w:val="00FA2451"/>
    <w:rsid w:val="00FA2CEC"/>
    <w:rsid w:val="00FA3073"/>
    <w:rsid w:val="00FA317C"/>
    <w:rsid w:val="00FA3813"/>
    <w:rsid w:val="00FA4C69"/>
    <w:rsid w:val="00FA6684"/>
    <w:rsid w:val="00FA731E"/>
    <w:rsid w:val="00FB0A9C"/>
    <w:rsid w:val="00FB29CA"/>
    <w:rsid w:val="00FB2B38"/>
    <w:rsid w:val="00FB3D96"/>
    <w:rsid w:val="00FB794A"/>
    <w:rsid w:val="00FC177D"/>
    <w:rsid w:val="00FC5184"/>
    <w:rsid w:val="00FC5DBA"/>
    <w:rsid w:val="00FC6358"/>
    <w:rsid w:val="00FC6C5C"/>
    <w:rsid w:val="00FD01CF"/>
    <w:rsid w:val="00FD0CE3"/>
    <w:rsid w:val="00FD1BDB"/>
    <w:rsid w:val="00FD1CB1"/>
    <w:rsid w:val="00FD1E50"/>
    <w:rsid w:val="00FD320D"/>
    <w:rsid w:val="00FD4662"/>
    <w:rsid w:val="00FD4B6C"/>
    <w:rsid w:val="00FD71FA"/>
    <w:rsid w:val="00FD78ED"/>
    <w:rsid w:val="00FD7EE2"/>
    <w:rsid w:val="00FE23DE"/>
    <w:rsid w:val="00FE70CB"/>
    <w:rsid w:val="00FF05E7"/>
    <w:rsid w:val="00FF17A6"/>
    <w:rsid w:val="00FF1D31"/>
    <w:rsid w:val="00FF31E3"/>
    <w:rsid w:val="00FF37DF"/>
    <w:rsid w:val="00FF4CAC"/>
    <w:rsid w:val="00FF6947"/>
    <w:rsid w:val="06251ABD"/>
    <w:rsid w:val="069C7703"/>
    <w:rsid w:val="096A70C6"/>
    <w:rsid w:val="0BB76D40"/>
    <w:rsid w:val="0C021D58"/>
    <w:rsid w:val="0D884C37"/>
    <w:rsid w:val="0EFF4FC1"/>
    <w:rsid w:val="0F7E60DA"/>
    <w:rsid w:val="12A37DFF"/>
    <w:rsid w:val="14D200EB"/>
    <w:rsid w:val="15C076B6"/>
    <w:rsid w:val="166D2D7F"/>
    <w:rsid w:val="18EA696C"/>
    <w:rsid w:val="19EE2B47"/>
    <w:rsid w:val="1A88172D"/>
    <w:rsid w:val="1D811B4F"/>
    <w:rsid w:val="217355E3"/>
    <w:rsid w:val="21771570"/>
    <w:rsid w:val="27710971"/>
    <w:rsid w:val="2AC21124"/>
    <w:rsid w:val="2B8774BD"/>
    <w:rsid w:val="2F0D7070"/>
    <w:rsid w:val="316F714F"/>
    <w:rsid w:val="369B1405"/>
    <w:rsid w:val="38293C64"/>
    <w:rsid w:val="3A343798"/>
    <w:rsid w:val="43277DED"/>
    <w:rsid w:val="44675692"/>
    <w:rsid w:val="454F3CD1"/>
    <w:rsid w:val="45804AE5"/>
    <w:rsid w:val="4966724C"/>
    <w:rsid w:val="49EB1822"/>
    <w:rsid w:val="4D8F68FD"/>
    <w:rsid w:val="4FD13E63"/>
    <w:rsid w:val="4FFFB6B5"/>
    <w:rsid w:val="50012CD3"/>
    <w:rsid w:val="59156883"/>
    <w:rsid w:val="5BA1221C"/>
    <w:rsid w:val="5C1C68C8"/>
    <w:rsid w:val="5D55380D"/>
    <w:rsid w:val="61583A9F"/>
    <w:rsid w:val="63021143"/>
    <w:rsid w:val="66935F55"/>
    <w:rsid w:val="67320AA5"/>
    <w:rsid w:val="673F2F3F"/>
    <w:rsid w:val="6A4D5C6C"/>
    <w:rsid w:val="6B2A3567"/>
    <w:rsid w:val="6C112359"/>
    <w:rsid w:val="6D430A66"/>
    <w:rsid w:val="728E1053"/>
    <w:rsid w:val="73837BE0"/>
    <w:rsid w:val="73925D92"/>
    <w:rsid w:val="79F915D0"/>
    <w:rsid w:val="7B656EB9"/>
    <w:rsid w:val="7CD8145D"/>
    <w:rsid w:val="7FDFBD32"/>
    <w:rsid w:val="FFFB5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42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0"/>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38">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46"/>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Body Text"/>
    <w:basedOn w:val="1"/>
    <w:link w:val="159"/>
    <w:qFormat/>
    <w:uiPriority w:val="1"/>
    <w:pPr>
      <w:autoSpaceDE w:val="0"/>
      <w:autoSpaceDN w:val="0"/>
      <w:ind w:left="0"/>
      <w:jc w:val="left"/>
    </w:pPr>
    <w:rPr>
      <w:rFonts w:eastAsia="Times New Roman"/>
      <w:kern w:val="0"/>
      <w:szCs w:val="21"/>
      <w:lang w:eastAsia="en-US"/>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158"/>
    <w:semiHidden/>
    <w:unhideWhenUsed/>
    <w:qFormat/>
    <w:uiPriority w:val="0"/>
    <w:pPr>
      <w:ind w:left="100" w:leftChars="2500"/>
    </w:pPr>
  </w:style>
  <w:style w:type="paragraph" w:styleId="18">
    <w:name w:val="endnote text"/>
    <w:basedOn w:val="1"/>
    <w:semiHidden/>
    <w:qFormat/>
    <w:uiPriority w:val="0"/>
    <w:pPr>
      <w:snapToGrid w:val="0"/>
      <w:jc w:val="left"/>
    </w:pPr>
  </w:style>
  <w:style w:type="paragraph" w:styleId="19">
    <w:name w:val="Balloon Text"/>
    <w:basedOn w:val="1"/>
    <w:link w:val="148"/>
    <w:qFormat/>
    <w:uiPriority w:val="0"/>
    <w:rPr>
      <w:sz w:val="18"/>
      <w:szCs w:val="18"/>
    </w:rPr>
  </w:style>
  <w:style w:type="paragraph" w:styleId="20">
    <w:name w:val="footer"/>
    <w:basedOn w:val="1"/>
    <w:link w:val="155"/>
    <w:qFormat/>
    <w:uiPriority w:val="99"/>
    <w:pPr>
      <w:snapToGrid w:val="0"/>
      <w:ind w:right="210" w:rightChars="100"/>
      <w:jc w:val="right"/>
    </w:pPr>
    <w:rPr>
      <w:sz w:val="18"/>
      <w:szCs w:val="18"/>
    </w:rPr>
  </w:style>
  <w:style w:type="paragraph" w:styleId="21">
    <w:name w:val="header"/>
    <w:basedOn w:val="1"/>
    <w:qFormat/>
    <w:uiPriority w:val="0"/>
    <w:pPr>
      <w:snapToGrid w:val="0"/>
      <w:jc w:val="left"/>
    </w:pPr>
    <w:rPr>
      <w:sz w:val="18"/>
      <w:szCs w:val="18"/>
    </w:rPr>
  </w:style>
  <w:style w:type="paragraph" w:styleId="22">
    <w:name w:val="toc 1"/>
    <w:basedOn w:val="1"/>
    <w:next w:val="1"/>
    <w:qFormat/>
    <w:uiPriority w:val="39"/>
    <w:pPr>
      <w:tabs>
        <w:tab w:val="right" w:leader="dot" w:pos="9241"/>
      </w:tabs>
      <w:spacing w:beforeLines="25" w:afterLines="25"/>
      <w:jc w:val="left"/>
    </w:pPr>
    <w:rPr>
      <w:rFonts w:ascii="宋体"/>
      <w:szCs w:val="21"/>
    </w:rPr>
  </w:style>
  <w:style w:type="paragraph" w:styleId="23">
    <w:name w:val="toc 4"/>
    <w:basedOn w:val="1"/>
    <w:next w:val="1"/>
    <w:qFormat/>
    <w:uiPriority w:val="39"/>
    <w:pPr>
      <w:tabs>
        <w:tab w:val="right" w:leader="dot" w:pos="9241"/>
      </w:tabs>
      <w:ind w:firstLine="198"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156"/>
    <w:qFormat/>
    <w:uiPriority w:val="0"/>
    <w:pPr>
      <w:tabs>
        <w:tab w:val="center" w:pos="4201"/>
        <w:tab w:val="right" w:leader="dot" w:pos="9298"/>
      </w:tabs>
      <w:autoSpaceDE w:val="0"/>
      <w:autoSpaceDN w:val="0"/>
      <w:ind w:left="420"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3" w:firstLineChars="400"/>
      <w:jc w:val="left"/>
    </w:pPr>
    <w:rPr>
      <w:rFonts w:ascii="宋体"/>
      <w:szCs w:val="21"/>
    </w:rPr>
  </w:style>
  <w:style w:type="paragraph" w:styleId="29">
    <w:name w:val="index 7"/>
    <w:basedOn w:val="1"/>
    <w:next w:val="1"/>
    <w:qFormat/>
    <w:uiPriority w:val="0"/>
    <w:pPr>
      <w:ind w:left="1470" w:hanging="210"/>
      <w:jc w:val="left"/>
    </w:pPr>
    <w:rPr>
      <w:rFonts w:ascii="Calibri" w:hAnsi="Calibri"/>
      <w:sz w:val="20"/>
      <w:szCs w:val="20"/>
    </w:rPr>
  </w:style>
  <w:style w:type="paragraph" w:styleId="30">
    <w:name w:val="index 9"/>
    <w:basedOn w:val="1"/>
    <w:next w:val="1"/>
    <w:qFormat/>
    <w:uiPriority w:val="0"/>
    <w:pPr>
      <w:ind w:left="1890" w:hanging="210"/>
      <w:jc w:val="left"/>
    </w:pPr>
    <w:rPr>
      <w:rFonts w:ascii="Calibri" w:hAnsi="Calibri"/>
      <w:sz w:val="20"/>
      <w:szCs w:val="20"/>
    </w:rPr>
  </w:style>
  <w:style w:type="paragraph" w:styleId="31">
    <w:name w:val="toc 2"/>
    <w:basedOn w:val="1"/>
    <w:next w:val="1"/>
    <w:qFormat/>
    <w:uiPriority w:val="39"/>
    <w:pPr>
      <w:tabs>
        <w:tab w:val="right" w:leader="dot" w:pos="9241"/>
      </w:tabs>
    </w:pPr>
    <w:rPr>
      <w:rFonts w:ascii="宋体"/>
      <w:szCs w:val="21"/>
    </w:rPr>
  </w:style>
  <w:style w:type="paragraph" w:styleId="32">
    <w:name w:val="toc 9"/>
    <w:basedOn w:val="1"/>
    <w:next w:val="1"/>
    <w:semiHidden/>
    <w:qFormat/>
    <w:uiPriority w:val="0"/>
    <w:pPr>
      <w:ind w:left="1470"/>
      <w:jc w:val="left"/>
    </w:pPr>
    <w:rPr>
      <w:sz w:val="20"/>
      <w:szCs w:val="20"/>
    </w:rPr>
  </w:style>
  <w:style w:type="paragraph" w:styleId="33">
    <w:name w:val="Normal (Web)"/>
    <w:basedOn w:val="1"/>
    <w:unhideWhenUsed/>
    <w:qFormat/>
    <w:uiPriority w:val="0"/>
    <w:pPr>
      <w:spacing w:before="100" w:beforeAutospacing="1" w:after="100" w:afterAutospacing="1"/>
      <w:ind w:left="0"/>
      <w:jc w:val="left"/>
    </w:pPr>
    <w:rPr>
      <w:kern w:val="0"/>
      <w:sz w:val="24"/>
    </w:rPr>
  </w:style>
  <w:style w:type="paragraph" w:styleId="34">
    <w:name w:val="index 2"/>
    <w:basedOn w:val="1"/>
    <w:next w:val="1"/>
    <w:qFormat/>
    <w:uiPriority w:val="0"/>
    <w:pPr>
      <w:ind w:hanging="210"/>
      <w:jc w:val="left"/>
    </w:pPr>
    <w:rPr>
      <w:rFonts w:ascii="Calibri" w:hAnsi="Calibri"/>
      <w:sz w:val="20"/>
      <w:szCs w:val="20"/>
    </w:rPr>
  </w:style>
  <w:style w:type="paragraph" w:styleId="35">
    <w:name w:val="annotation subject"/>
    <w:basedOn w:val="9"/>
    <w:next w:val="9"/>
    <w:link w:val="154"/>
    <w:qFormat/>
    <w:uiPriority w:val="0"/>
    <w:rPr>
      <w:b/>
      <w:bCs/>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Strong"/>
    <w:basedOn w:val="38"/>
    <w:qFormat/>
    <w:uiPriority w:val="0"/>
    <w:rPr>
      <w:b/>
    </w:rPr>
  </w:style>
  <w:style w:type="character" w:styleId="40">
    <w:name w:val="endnote reference"/>
    <w:basedOn w:val="38"/>
    <w:semiHidden/>
    <w:qFormat/>
    <w:uiPriority w:val="0"/>
    <w:rPr>
      <w:vertAlign w:val="superscript"/>
    </w:rPr>
  </w:style>
  <w:style w:type="character" w:styleId="41">
    <w:name w:val="page number"/>
    <w:basedOn w:val="38"/>
    <w:qFormat/>
    <w:uiPriority w:val="0"/>
    <w:rPr>
      <w:rFonts w:ascii="Times New Roman" w:hAnsi="Times New Roman" w:eastAsia="宋体"/>
      <w:sz w:val="18"/>
    </w:rPr>
  </w:style>
  <w:style w:type="character" w:styleId="42">
    <w:name w:val="FollowedHyperlink"/>
    <w:basedOn w:val="38"/>
    <w:qFormat/>
    <w:uiPriority w:val="0"/>
    <w:rPr>
      <w:color w:val="800080"/>
      <w:u w:val="single"/>
    </w:rPr>
  </w:style>
  <w:style w:type="character" w:styleId="43">
    <w:name w:val="Hyperlink"/>
    <w:basedOn w:val="38"/>
    <w:qFormat/>
    <w:uiPriority w:val="99"/>
    <w:rPr>
      <w:color w:val="0000FF"/>
      <w:spacing w:val="0"/>
      <w:w w:val="100"/>
      <w:szCs w:val="21"/>
      <w:u w:val="single"/>
    </w:rPr>
  </w:style>
  <w:style w:type="character" w:styleId="44">
    <w:name w:val="annotation reference"/>
    <w:basedOn w:val="38"/>
    <w:qFormat/>
    <w:uiPriority w:val="0"/>
    <w:rPr>
      <w:sz w:val="21"/>
      <w:szCs w:val="21"/>
    </w:rPr>
  </w:style>
  <w:style w:type="character" w:styleId="45">
    <w:name w:val="footnote reference"/>
    <w:basedOn w:val="38"/>
    <w:semiHidden/>
    <w:qFormat/>
    <w:uiPriority w:val="0"/>
    <w:rPr>
      <w:vertAlign w:val="superscript"/>
    </w:rPr>
  </w:style>
  <w:style w:type="paragraph" w:customStyle="1" w:styleId="46">
    <w:name w:val="附录章标题"/>
    <w:next w:val="26"/>
    <w:qFormat/>
    <w:uiPriority w:val="0"/>
    <w:pPr>
      <w:numPr>
        <w:ilvl w:val="1"/>
        <w:numId w:val="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47">
    <w:name w:val="附录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48">
    <w:name w:val="附录图标题"/>
    <w:basedOn w:val="1"/>
    <w:next w:val="26"/>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49">
    <w:name w:val="五级条标题"/>
    <w:basedOn w:val="50"/>
    <w:next w:val="26"/>
    <w:qFormat/>
    <w:uiPriority w:val="0"/>
    <w:pPr>
      <w:numPr>
        <w:ilvl w:val="5"/>
      </w:numPr>
      <w:tabs>
        <w:tab w:val="left" w:pos="0"/>
      </w:tabs>
      <w:outlineLvl w:val="6"/>
    </w:pPr>
  </w:style>
  <w:style w:type="paragraph" w:customStyle="1" w:styleId="50">
    <w:name w:val="四级条标题"/>
    <w:basedOn w:val="51"/>
    <w:next w:val="26"/>
    <w:qFormat/>
    <w:uiPriority w:val="0"/>
    <w:pPr>
      <w:numPr>
        <w:ilvl w:val="4"/>
        <w:numId w:val="5"/>
      </w:numPr>
      <w:tabs>
        <w:tab w:val="left" w:pos="0"/>
      </w:tabs>
      <w:outlineLvl w:val="5"/>
    </w:pPr>
  </w:style>
  <w:style w:type="paragraph" w:customStyle="1" w:styleId="51">
    <w:name w:val="三级条标题"/>
    <w:basedOn w:val="52"/>
    <w:next w:val="26"/>
    <w:qFormat/>
    <w:uiPriority w:val="0"/>
    <w:pPr>
      <w:numPr>
        <w:ilvl w:val="0"/>
        <w:numId w:val="0"/>
      </w:numPr>
      <w:tabs>
        <w:tab w:val="left" w:pos="0"/>
      </w:tabs>
      <w:outlineLvl w:val="4"/>
    </w:pPr>
  </w:style>
  <w:style w:type="paragraph" w:customStyle="1" w:styleId="52">
    <w:name w:val="二级条标题"/>
    <w:basedOn w:val="53"/>
    <w:next w:val="26"/>
    <w:qFormat/>
    <w:uiPriority w:val="0"/>
    <w:pPr>
      <w:numPr>
        <w:ilvl w:val="2"/>
      </w:numPr>
      <w:tabs>
        <w:tab w:val="left" w:pos="0"/>
      </w:tabs>
      <w:spacing w:before="50" w:after="50"/>
      <w:outlineLvl w:val="3"/>
    </w:pPr>
  </w:style>
  <w:style w:type="paragraph" w:customStyle="1" w:styleId="53">
    <w:name w:val="一级条标题"/>
    <w:next w:val="26"/>
    <w:qFormat/>
    <w:uiPriority w:val="0"/>
    <w:pPr>
      <w:numPr>
        <w:ilvl w:val="1"/>
        <w:numId w:val="5"/>
      </w:numPr>
      <w:spacing w:beforeLines="50" w:afterLines="50"/>
      <w:jc w:val="both"/>
      <w:outlineLvl w:val="2"/>
    </w:pPr>
    <w:rPr>
      <w:rFonts w:ascii="黑体" w:hAnsi="Times New Roman" w:eastAsia="黑体" w:cs="Times New Roman"/>
      <w:sz w:val="21"/>
      <w:szCs w:val="21"/>
      <w:lang w:val="en-US" w:eastAsia="zh-CN" w:bidi="ar-SA"/>
    </w:rPr>
  </w:style>
  <w:style w:type="paragraph" w:customStyle="1" w:styleId="54">
    <w:name w:val="附录一级条标题"/>
    <w:basedOn w:val="46"/>
    <w:next w:val="26"/>
    <w:qFormat/>
    <w:uiPriority w:val="0"/>
    <w:pPr>
      <w:numPr>
        <w:ilvl w:val="2"/>
      </w:numPr>
      <w:autoSpaceDN w:val="0"/>
      <w:spacing w:beforeLines="50" w:afterLines="50"/>
      <w:outlineLvl w:val="2"/>
    </w:pPr>
  </w:style>
  <w:style w:type="paragraph" w:customStyle="1" w:styleId="5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ind w:left="420"/>
      <w:jc w:val="distribute"/>
    </w:pPr>
    <w:rPr>
      <w:rFonts w:ascii="宋体" w:hAnsi="Times New Roman" w:eastAsia="宋体" w:cs="Times New Roman"/>
      <w:b/>
      <w:bCs/>
      <w:spacing w:val="20"/>
      <w:w w:val="148"/>
      <w:sz w:val="48"/>
      <w:lang w:val="en-US" w:eastAsia="zh-CN" w:bidi="ar-SA"/>
    </w:rPr>
  </w:style>
  <w:style w:type="paragraph" w:customStyle="1" w:styleId="56">
    <w:name w:val="示例后文字"/>
    <w:basedOn w:val="26"/>
    <w:next w:val="26"/>
    <w:qFormat/>
    <w:uiPriority w:val="0"/>
    <w:pPr>
      <w:ind w:firstLine="360"/>
    </w:pPr>
    <w:rPr>
      <w:sz w:val="18"/>
    </w:rPr>
  </w:style>
  <w:style w:type="paragraph" w:customStyle="1" w:styleId="57">
    <w:name w:val="附录二级条标题"/>
    <w:basedOn w:val="1"/>
    <w:next w:val="26"/>
    <w:qFormat/>
    <w:uiPriority w:val="0"/>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58">
    <w:name w:val="封面标准名称"/>
    <w:qFormat/>
    <w:uiPriority w:val="0"/>
    <w:pPr>
      <w:framePr w:w="9639" w:h="6917" w:hRule="exact" w:wrap="around" w:vAnchor="page" w:hAnchor="page" w:xAlign="center" w:y="6408" w:anchorLock="1"/>
      <w:widowControl w:val="0"/>
      <w:spacing w:line="680" w:lineRule="exact"/>
      <w:ind w:left="420"/>
      <w:jc w:val="center"/>
      <w:textAlignment w:val="center"/>
    </w:pPr>
    <w:rPr>
      <w:rFonts w:ascii="黑体" w:hAnsi="Times New Roman" w:eastAsia="黑体" w:cs="Times New Roman"/>
      <w:sz w:val="52"/>
      <w:lang w:val="en-US" w:eastAsia="zh-CN" w:bidi="ar-SA"/>
    </w:rPr>
  </w:style>
  <w:style w:type="paragraph" w:customStyle="1" w:styleId="59">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60">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61">
    <w:name w:val="五级无"/>
    <w:basedOn w:val="49"/>
    <w:qFormat/>
    <w:uiPriority w:val="0"/>
    <w:pPr>
      <w:spacing w:beforeLines="0" w:afterLines="0"/>
    </w:pPr>
    <w:rPr>
      <w:rFonts w:ascii="宋体" w:eastAsia="宋体"/>
    </w:rPr>
  </w:style>
  <w:style w:type="paragraph" w:customStyle="1" w:styleId="62">
    <w:name w:val="其他实施日期"/>
    <w:basedOn w:val="63"/>
    <w:qFormat/>
    <w:uiPriority w:val="0"/>
    <w:pPr>
      <w:framePr w:wrap="around"/>
    </w:pPr>
  </w:style>
  <w:style w:type="paragraph" w:customStyle="1" w:styleId="63">
    <w:name w:val="实施日期"/>
    <w:basedOn w:val="64"/>
    <w:qFormat/>
    <w:uiPriority w:val="0"/>
    <w:pPr>
      <w:framePr w:wrap="around" w:vAnchor="page" w:hAnchor="text"/>
      <w:jc w:val="right"/>
    </w:pPr>
  </w:style>
  <w:style w:type="paragraph" w:customStyle="1" w:styleId="64">
    <w:name w:val="发布日期"/>
    <w:qFormat/>
    <w:uiPriority w:val="0"/>
    <w:pPr>
      <w:framePr w:w="3997" w:h="471" w:hRule="exact" w:vSpace="181" w:wrap="around" w:vAnchor="margin" w:hAnchor="page" w:x="7089" w:y="14097" w:anchorLock="1"/>
      <w:ind w:left="420"/>
      <w:jc w:val="both"/>
    </w:pPr>
    <w:rPr>
      <w:rFonts w:ascii="Times New Roman" w:hAnsi="Times New Roman" w:eastAsia="黑体" w:cs="Times New Roman"/>
      <w:sz w:val="28"/>
      <w:lang w:val="en-US" w:eastAsia="zh-CN" w:bidi="ar-SA"/>
    </w:rPr>
  </w:style>
  <w:style w:type="paragraph" w:customStyle="1" w:styleId="65">
    <w:name w:val="附录五级条标题"/>
    <w:basedOn w:val="66"/>
    <w:next w:val="26"/>
    <w:qFormat/>
    <w:uiPriority w:val="0"/>
    <w:pPr>
      <w:numPr>
        <w:ilvl w:val="6"/>
      </w:numPr>
      <w:tabs>
        <w:tab w:val="left" w:pos="360"/>
      </w:tabs>
      <w:outlineLvl w:val="6"/>
    </w:pPr>
  </w:style>
  <w:style w:type="paragraph" w:customStyle="1" w:styleId="66">
    <w:name w:val="附录四级条标题"/>
    <w:basedOn w:val="67"/>
    <w:next w:val="26"/>
    <w:qFormat/>
    <w:uiPriority w:val="0"/>
    <w:pPr>
      <w:numPr>
        <w:ilvl w:val="5"/>
      </w:numPr>
      <w:tabs>
        <w:tab w:val="left" w:pos="360"/>
      </w:tabs>
      <w:outlineLvl w:val="5"/>
    </w:pPr>
  </w:style>
  <w:style w:type="paragraph" w:customStyle="1" w:styleId="67">
    <w:name w:val="附录三级条标题"/>
    <w:basedOn w:val="57"/>
    <w:next w:val="26"/>
    <w:qFormat/>
    <w:uiPriority w:val="0"/>
    <w:pPr>
      <w:numPr>
        <w:ilvl w:val="4"/>
      </w:numPr>
      <w:outlineLvl w:val="4"/>
    </w:pPr>
  </w:style>
  <w:style w:type="paragraph" w:customStyle="1" w:styleId="68">
    <w:name w:val="封面一致性程度标识"/>
    <w:basedOn w:val="69"/>
    <w:qFormat/>
    <w:uiPriority w:val="0"/>
    <w:pPr>
      <w:framePr w:wrap="around"/>
      <w:spacing w:before="440"/>
    </w:pPr>
    <w:rPr>
      <w:rFonts w:ascii="宋体" w:eastAsia="宋体"/>
    </w:rPr>
  </w:style>
  <w:style w:type="paragraph" w:customStyle="1" w:styleId="69">
    <w:name w:val="封面标准英文名称"/>
    <w:basedOn w:val="58"/>
    <w:qFormat/>
    <w:uiPriority w:val="0"/>
    <w:pPr>
      <w:framePr w:wrap="around"/>
      <w:spacing w:before="370" w:line="400" w:lineRule="exact"/>
    </w:pPr>
    <w:rPr>
      <w:rFonts w:ascii="Times New Roman"/>
      <w:sz w:val="28"/>
      <w:szCs w:val="28"/>
    </w:rPr>
  </w:style>
  <w:style w:type="paragraph" w:customStyle="1" w:styleId="70">
    <w:name w:val="其他标准标志"/>
    <w:basedOn w:val="71"/>
    <w:qFormat/>
    <w:uiPriority w:val="0"/>
    <w:pPr>
      <w:framePr w:w="6101" w:wrap="around" w:vAnchor="page" w:hAnchor="page" w:x="4673" w:y="942"/>
    </w:pPr>
    <w:rPr>
      <w:w w:val="130"/>
    </w:rPr>
  </w:style>
  <w:style w:type="paragraph" w:customStyle="1" w:styleId="71">
    <w:name w:val="标准标志"/>
    <w:next w:val="1"/>
    <w:qFormat/>
    <w:uiPriority w:val="0"/>
    <w:pPr>
      <w:framePr w:w="2546" w:h="1389" w:hRule="exact" w:hSpace="181" w:vSpace="181" w:wrap="around" w:vAnchor="margin" w:hAnchor="margin" w:x="6522" w:y="398" w:anchorLock="1"/>
      <w:shd w:val="solid" w:color="FFFFFF" w:fill="FFFFFF"/>
      <w:spacing w:line="0" w:lineRule="atLeast"/>
      <w:ind w:left="420"/>
      <w:jc w:val="right"/>
    </w:pPr>
    <w:rPr>
      <w:rFonts w:ascii="Times New Roman" w:hAnsi="Times New Roman" w:eastAsia="宋体" w:cs="Times New Roman"/>
      <w:b/>
      <w:w w:val="170"/>
      <w:sz w:val="96"/>
      <w:szCs w:val="96"/>
      <w:lang w:val="en-US" w:eastAsia="zh-CN" w:bidi="ar-SA"/>
    </w:rPr>
  </w:style>
  <w:style w:type="paragraph" w:customStyle="1" w:styleId="72">
    <w:name w:val="封面标准文稿类别"/>
    <w:basedOn w:val="68"/>
    <w:qFormat/>
    <w:uiPriority w:val="0"/>
    <w:pPr>
      <w:framePr w:wrap="around"/>
      <w:spacing w:after="160" w:line="240" w:lineRule="auto"/>
    </w:pPr>
    <w:rPr>
      <w:sz w:val="24"/>
    </w:rPr>
  </w:style>
  <w:style w:type="paragraph" w:customStyle="1" w:styleId="73">
    <w:name w:val="修订1"/>
    <w:semiHidden/>
    <w:qFormat/>
    <w:uiPriority w:val="99"/>
    <w:pPr>
      <w:ind w:left="420"/>
      <w:jc w:val="both"/>
    </w:pPr>
    <w:rPr>
      <w:rFonts w:ascii="Times New Roman" w:hAnsi="Times New Roman" w:eastAsia="宋体" w:cs="Times New Roman"/>
      <w:kern w:val="2"/>
      <w:sz w:val="21"/>
      <w:szCs w:val="24"/>
      <w:lang w:val="en-US" w:eastAsia="zh-CN" w:bidi="ar-SA"/>
    </w:rPr>
  </w:style>
  <w:style w:type="paragraph" w:customStyle="1" w:styleId="74">
    <w:name w:val="示例×："/>
    <w:basedOn w:val="75"/>
    <w:qFormat/>
    <w:uiPriority w:val="0"/>
    <w:pPr>
      <w:numPr>
        <w:numId w:val="8"/>
      </w:numPr>
      <w:spacing w:beforeLines="0" w:afterLines="0"/>
      <w:outlineLvl w:val="9"/>
    </w:pPr>
    <w:rPr>
      <w:rFonts w:ascii="宋体" w:eastAsia="宋体"/>
      <w:sz w:val="18"/>
      <w:szCs w:val="18"/>
    </w:rPr>
  </w:style>
  <w:style w:type="paragraph" w:customStyle="1" w:styleId="75">
    <w:name w:val="章标题"/>
    <w:next w:val="26"/>
    <w:qFormat/>
    <w:uiPriority w:val="0"/>
    <w:pPr>
      <w:numPr>
        <w:ilvl w:val="0"/>
        <w:numId w:val="5"/>
      </w:numPr>
      <w:spacing w:beforeLines="100" w:afterLines="100"/>
      <w:jc w:val="both"/>
      <w:outlineLvl w:val="1"/>
    </w:pPr>
    <w:rPr>
      <w:rFonts w:ascii="黑体" w:hAnsi="Times New Roman" w:eastAsia="黑体" w:cs="Times New Roman"/>
      <w:sz w:val="21"/>
      <w:lang w:val="en-US" w:eastAsia="zh-CN" w:bidi="ar-SA"/>
    </w:rPr>
  </w:style>
  <w:style w:type="paragraph" w:customStyle="1" w:styleId="76">
    <w:name w:val="附录标识"/>
    <w:basedOn w:val="1"/>
    <w:next w:val="26"/>
    <w:qFormat/>
    <w:uiPriority w:val="0"/>
    <w:pPr>
      <w:keepNext/>
      <w:widowControl/>
      <w:numPr>
        <w:ilvl w:val="0"/>
        <w:numId w:val="2"/>
      </w:numPr>
      <w:shd w:val="clear" w:color="FFFFFF" w:fill="FFFFFF"/>
      <w:tabs>
        <w:tab w:val="left" w:pos="6405"/>
      </w:tabs>
      <w:spacing w:before="640" w:after="280"/>
      <w:jc w:val="center"/>
      <w:outlineLvl w:val="0"/>
    </w:pPr>
    <w:rPr>
      <w:rFonts w:ascii="黑体" w:eastAsia="黑体"/>
      <w:kern w:val="0"/>
      <w:szCs w:val="20"/>
    </w:rPr>
  </w:style>
  <w:style w:type="paragraph" w:customStyle="1" w:styleId="77">
    <w:name w:val="附录标题"/>
    <w:basedOn w:val="26"/>
    <w:next w:val="26"/>
    <w:qFormat/>
    <w:uiPriority w:val="0"/>
    <w:pPr>
      <w:ind w:firstLine="0" w:firstLineChars="0"/>
      <w:jc w:val="center"/>
    </w:pPr>
    <w:rPr>
      <w:rFonts w:ascii="黑体" w:eastAsia="黑体"/>
    </w:rPr>
  </w:style>
  <w:style w:type="paragraph" w:customStyle="1" w:styleId="78">
    <w:name w:val="标准书脚_偶数页"/>
    <w:qFormat/>
    <w:uiPriority w:val="0"/>
    <w:pPr>
      <w:spacing w:before="120"/>
      <w:ind w:left="221"/>
      <w:jc w:val="both"/>
    </w:pPr>
    <w:rPr>
      <w:rFonts w:ascii="宋体" w:hAnsi="Times New Roman" w:eastAsia="宋体" w:cs="Times New Roman"/>
      <w:sz w:val="18"/>
      <w:szCs w:val="18"/>
      <w:lang w:val="en-US" w:eastAsia="zh-CN" w:bidi="ar-SA"/>
    </w:rPr>
  </w:style>
  <w:style w:type="paragraph" w:customStyle="1" w:styleId="79">
    <w:name w:val="前言、引言标题"/>
    <w:next w:val="26"/>
    <w:qFormat/>
    <w:uiPriority w:val="0"/>
    <w:pPr>
      <w:keepNext/>
      <w:pageBreakBefore/>
      <w:shd w:val="clear" w:color="FFFFFF" w:fill="FFFFFF"/>
      <w:spacing w:before="640" w:after="560"/>
      <w:ind w:left="420"/>
      <w:jc w:val="center"/>
      <w:outlineLvl w:val="0"/>
    </w:pPr>
    <w:rPr>
      <w:rFonts w:ascii="黑体" w:hAnsi="Times New Roman" w:eastAsia="黑体" w:cs="Times New Roman"/>
      <w:sz w:val="32"/>
      <w:lang w:val="en-US" w:eastAsia="zh-CN" w:bidi="ar-SA"/>
    </w:rPr>
  </w:style>
  <w:style w:type="paragraph" w:customStyle="1" w:styleId="80">
    <w:name w:val="附录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81">
    <w:name w:val="附录五级无"/>
    <w:basedOn w:val="65"/>
    <w:qFormat/>
    <w:uiPriority w:val="0"/>
    <w:pPr>
      <w:tabs>
        <w:tab w:val="clear" w:pos="360"/>
      </w:tabs>
      <w:spacing w:beforeLines="0" w:afterLines="0"/>
    </w:pPr>
    <w:rPr>
      <w:rFonts w:ascii="宋体" w:eastAsia="宋体"/>
      <w:szCs w:val="21"/>
    </w:rPr>
  </w:style>
  <w:style w:type="paragraph" w:customStyle="1" w:styleId="82">
    <w:name w:val="三级无"/>
    <w:basedOn w:val="51"/>
    <w:qFormat/>
    <w:uiPriority w:val="0"/>
    <w:pPr>
      <w:spacing w:beforeLines="0" w:afterLines="0"/>
    </w:pPr>
    <w:rPr>
      <w:rFonts w:ascii="宋体" w:eastAsia="宋体"/>
    </w:rPr>
  </w:style>
  <w:style w:type="paragraph" w:customStyle="1" w:styleId="83">
    <w:name w:val="附录表标题"/>
    <w:basedOn w:val="1"/>
    <w:next w:val="26"/>
    <w:qFormat/>
    <w:uiPriority w:val="0"/>
    <w:pPr>
      <w:numPr>
        <w:ilvl w:val="1"/>
        <w:numId w:val="9"/>
      </w:numPr>
      <w:tabs>
        <w:tab w:val="left" w:pos="180"/>
      </w:tabs>
      <w:spacing w:beforeLines="50" w:afterLines="50"/>
      <w:ind w:left="0" w:firstLine="0"/>
      <w:jc w:val="center"/>
    </w:pPr>
    <w:rPr>
      <w:rFonts w:ascii="黑体" w:eastAsia="黑体"/>
      <w:szCs w:val="21"/>
    </w:rPr>
  </w:style>
  <w:style w:type="paragraph" w:customStyle="1" w:styleId="84">
    <w:name w:val="目次、索引正文"/>
    <w:qFormat/>
    <w:uiPriority w:val="0"/>
    <w:pPr>
      <w:spacing w:line="320" w:lineRule="exact"/>
      <w:ind w:left="420"/>
      <w:jc w:val="both"/>
    </w:pPr>
    <w:rPr>
      <w:rFonts w:ascii="宋体" w:hAnsi="Times New Roman" w:eastAsia="宋体" w:cs="Times New Roman"/>
      <w:sz w:val="21"/>
      <w:lang w:val="en-US" w:eastAsia="zh-CN" w:bidi="ar-SA"/>
    </w:rPr>
  </w:style>
  <w:style w:type="paragraph" w:customStyle="1" w:styleId="85">
    <w:name w:val="Body text|1"/>
    <w:basedOn w:val="1"/>
    <w:qFormat/>
    <w:uiPriority w:val="0"/>
    <w:pPr>
      <w:spacing w:after="140" w:line="307" w:lineRule="auto"/>
      <w:ind w:firstLine="400"/>
    </w:pPr>
    <w:rPr>
      <w:rFonts w:ascii="宋体" w:hAnsi="宋体" w:cs="宋体"/>
      <w:color w:val="323232"/>
      <w:sz w:val="40"/>
      <w:szCs w:val="40"/>
      <w:lang w:val="zh-TW" w:eastAsia="zh-TW" w:bidi="zh-TW"/>
    </w:rPr>
  </w:style>
  <w:style w:type="paragraph" w:customStyle="1" w:styleId="86">
    <w:name w:val="封面标准代替信息"/>
    <w:qFormat/>
    <w:uiPriority w:val="0"/>
    <w:pPr>
      <w:framePr w:w="9140" w:h="1242" w:hRule="exact" w:hSpace="284" w:wrap="around" w:vAnchor="page" w:hAnchor="page" w:x="1645" w:y="2910" w:anchorLock="1"/>
      <w:spacing w:before="57" w:line="280" w:lineRule="exact"/>
      <w:ind w:left="420"/>
      <w:jc w:val="right"/>
    </w:pPr>
    <w:rPr>
      <w:rFonts w:ascii="宋体" w:hAnsi="Times New Roman" w:eastAsia="宋体" w:cs="Times New Roman"/>
      <w:sz w:val="21"/>
      <w:szCs w:val="21"/>
      <w:lang w:val="en-US" w:eastAsia="zh-CN" w:bidi="ar-SA"/>
    </w:rPr>
  </w:style>
  <w:style w:type="paragraph" w:customStyle="1" w:styleId="87">
    <w:name w:val="附录一级无"/>
    <w:basedOn w:val="54"/>
    <w:qFormat/>
    <w:uiPriority w:val="0"/>
    <w:pPr>
      <w:tabs>
        <w:tab w:val="clear" w:pos="360"/>
      </w:tabs>
      <w:spacing w:beforeLines="0" w:afterLines="0"/>
    </w:pPr>
    <w:rPr>
      <w:rFonts w:ascii="宋体" w:eastAsia="宋体"/>
      <w:szCs w:val="21"/>
    </w:rPr>
  </w:style>
  <w:style w:type="paragraph" w:customStyle="1" w:styleId="88">
    <w:name w:val="正文公式编号制表符"/>
    <w:basedOn w:val="26"/>
    <w:next w:val="26"/>
    <w:qFormat/>
    <w:uiPriority w:val="0"/>
    <w:pPr>
      <w:ind w:firstLine="0" w:firstLineChars="0"/>
    </w:pPr>
  </w:style>
  <w:style w:type="paragraph" w:customStyle="1" w:styleId="89">
    <w:name w:val="附录公式"/>
    <w:basedOn w:val="26"/>
    <w:next w:val="26"/>
    <w:link w:val="157"/>
    <w:qFormat/>
    <w:uiPriority w:val="0"/>
  </w:style>
  <w:style w:type="paragraph" w:customStyle="1" w:styleId="90">
    <w:name w:val="标准书眉_奇数页"/>
    <w:next w:val="1"/>
    <w:qFormat/>
    <w:uiPriority w:val="0"/>
    <w:pPr>
      <w:tabs>
        <w:tab w:val="center" w:pos="4154"/>
        <w:tab w:val="right" w:pos="8306"/>
      </w:tabs>
      <w:spacing w:after="220"/>
      <w:ind w:left="420"/>
      <w:jc w:val="right"/>
    </w:pPr>
    <w:rPr>
      <w:rFonts w:ascii="黑体" w:hAnsi="Times New Roman" w:eastAsia="黑体" w:cs="Times New Roman"/>
      <w:sz w:val="21"/>
      <w:szCs w:val="21"/>
      <w:lang w:val="en-US" w:eastAsia="zh-CN" w:bidi="ar-SA"/>
    </w:rPr>
  </w:style>
  <w:style w:type="paragraph" w:customStyle="1" w:styleId="91">
    <w:name w:val="附录表标号"/>
    <w:basedOn w:val="1"/>
    <w:next w:val="26"/>
    <w:qFormat/>
    <w:uiPriority w:val="0"/>
    <w:pPr>
      <w:numPr>
        <w:ilvl w:val="0"/>
        <w:numId w:val="9"/>
      </w:numPr>
      <w:tabs>
        <w:tab w:val="clear" w:pos="0"/>
      </w:tabs>
      <w:spacing w:line="14" w:lineRule="exact"/>
      <w:ind w:left="811" w:hanging="448"/>
      <w:jc w:val="center"/>
      <w:outlineLvl w:val="0"/>
    </w:pPr>
    <w:rPr>
      <w:color w:val="FFFFFF"/>
    </w:rPr>
  </w:style>
  <w:style w:type="paragraph" w:customStyle="1" w:styleId="92">
    <w:name w:val="二级无"/>
    <w:basedOn w:val="52"/>
    <w:qFormat/>
    <w:uiPriority w:val="0"/>
    <w:pPr>
      <w:spacing w:beforeLines="0" w:afterLines="0"/>
    </w:pPr>
    <w:rPr>
      <w:rFonts w:ascii="宋体" w:eastAsia="宋体"/>
    </w:rPr>
  </w:style>
  <w:style w:type="paragraph" w:customStyle="1" w:styleId="93">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94">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5">
    <w:name w:val="编号列项（三级）"/>
    <w:qFormat/>
    <w:uiPriority w:val="0"/>
    <w:pPr>
      <w:ind w:left="420"/>
      <w:jc w:val="both"/>
    </w:pPr>
    <w:rPr>
      <w:rFonts w:ascii="宋体" w:hAnsi="Times New Roman" w:eastAsia="宋体" w:cs="Times New Roman"/>
      <w:sz w:val="21"/>
      <w:lang w:val="en-US" w:eastAsia="zh-CN" w:bidi="ar-SA"/>
    </w:rPr>
  </w:style>
  <w:style w:type="paragraph" w:customStyle="1" w:styleId="96">
    <w:name w:val="图标脚注说明"/>
    <w:basedOn w:val="26"/>
    <w:qFormat/>
    <w:uiPriority w:val="0"/>
    <w:pPr>
      <w:ind w:left="840" w:hanging="420" w:firstLineChars="0"/>
    </w:pPr>
    <w:rPr>
      <w:sz w:val="18"/>
      <w:szCs w:val="18"/>
    </w:rPr>
  </w:style>
  <w:style w:type="paragraph" w:customStyle="1" w:styleId="97">
    <w:name w:val="正文表标题"/>
    <w:next w:val="26"/>
    <w:qFormat/>
    <w:uiPriority w:val="0"/>
    <w:pPr>
      <w:numPr>
        <w:ilvl w:val="0"/>
        <w:numId w:val="10"/>
      </w:numPr>
      <w:tabs>
        <w:tab w:val="left" w:pos="360"/>
      </w:tabs>
      <w:spacing w:beforeLines="50" w:afterLines="50"/>
      <w:ind w:left="0"/>
      <w:jc w:val="center"/>
    </w:pPr>
    <w:rPr>
      <w:rFonts w:ascii="黑体" w:hAnsi="Times New Roman" w:eastAsia="黑体" w:cs="Times New Roman"/>
      <w:sz w:val="21"/>
      <w:lang w:val="en-US" w:eastAsia="zh-CN" w:bidi="ar-SA"/>
    </w:rPr>
  </w:style>
  <w:style w:type="paragraph" w:customStyle="1" w:styleId="98">
    <w:name w:val="终结线"/>
    <w:basedOn w:val="1"/>
    <w:qFormat/>
    <w:uiPriority w:val="0"/>
    <w:pPr>
      <w:framePr w:hSpace="181" w:vSpace="181" w:wrap="around" w:vAnchor="text" w:hAnchor="margin" w:xAlign="center" w:y="285"/>
    </w:pPr>
  </w:style>
  <w:style w:type="paragraph" w:customStyle="1" w:styleId="99">
    <w:name w:val="附录四级无"/>
    <w:basedOn w:val="66"/>
    <w:qFormat/>
    <w:uiPriority w:val="0"/>
    <w:pPr>
      <w:tabs>
        <w:tab w:val="clear" w:pos="360"/>
      </w:tabs>
      <w:spacing w:beforeLines="0" w:afterLines="0"/>
    </w:pPr>
    <w:rPr>
      <w:rFonts w:ascii="宋体" w:eastAsia="宋体"/>
      <w:szCs w:val="21"/>
    </w:rPr>
  </w:style>
  <w:style w:type="paragraph" w:customStyle="1" w:styleId="100">
    <w:name w:val="其他标准称谓"/>
    <w:next w:val="1"/>
    <w:qFormat/>
    <w:uiPriority w:val="0"/>
    <w:pPr>
      <w:framePr w:hSpace="181" w:vSpace="181" w:wrap="around" w:vAnchor="page" w:hAnchor="page" w:x="1419" w:y="2286" w:anchorLock="1"/>
      <w:spacing w:line="0" w:lineRule="atLeast"/>
      <w:ind w:left="420"/>
      <w:jc w:val="distribute"/>
    </w:pPr>
    <w:rPr>
      <w:rFonts w:ascii="黑体" w:hAnsi="宋体" w:eastAsia="黑体" w:cs="Times New Roman"/>
      <w:spacing w:val="-40"/>
      <w:sz w:val="48"/>
      <w:szCs w:val="52"/>
      <w:lang w:val="en-US" w:eastAsia="zh-CN" w:bidi="ar-SA"/>
    </w:rPr>
  </w:style>
  <w:style w:type="paragraph" w:customStyle="1" w:styleId="101">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2">
    <w:name w:val="Header or footer|1"/>
    <w:basedOn w:val="1"/>
    <w:qFormat/>
    <w:uiPriority w:val="0"/>
    <w:rPr>
      <w:rFonts w:ascii="宋体" w:hAnsi="宋体" w:cs="宋体"/>
      <w:sz w:val="46"/>
      <w:szCs w:val="46"/>
    </w:rPr>
  </w:style>
  <w:style w:type="paragraph" w:customStyle="1" w:styleId="103">
    <w:name w:val="WPSOffice手动目录 2"/>
    <w:qFormat/>
    <w:uiPriority w:val="0"/>
    <w:pPr>
      <w:ind w:left="200" w:leftChars="200"/>
    </w:pPr>
    <w:rPr>
      <w:rFonts w:ascii="Calibri" w:hAnsi="Calibri" w:eastAsia="宋体" w:cs="Times New Roman"/>
      <w:lang w:val="en-US" w:eastAsia="zh-CN" w:bidi="ar-SA"/>
    </w:rPr>
  </w:style>
  <w:style w:type="paragraph" w:customStyle="1" w:styleId="104">
    <w:name w:val="附录三级无"/>
    <w:basedOn w:val="67"/>
    <w:qFormat/>
    <w:uiPriority w:val="0"/>
    <w:pPr>
      <w:tabs>
        <w:tab w:val="clear" w:pos="360"/>
      </w:tabs>
      <w:spacing w:beforeLines="0" w:afterLines="0"/>
    </w:pPr>
    <w:rPr>
      <w:rFonts w:ascii="宋体" w:eastAsia="宋体"/>
      <w:szCs w:val="21"/>
    </w:rPr>
  </w:style>
  <w:style w:type="paragraph" w:customStyle="1" w:styleId="105">
    <w:name w:val="WPSOffice手动目录 1"/>
    <w:qFormat/>
    <w:uiPriority w:val="0"/>
    <w:rPr>
      <w:rFonts w:ascii="Calibri" w:hAnsi="Calibri" w:eastAsia="宋体" w:cs="Times New Roman"/>
      <w:lang w:val="en-US" w:eastAsia="zh-CN" w:bidi="ar-SA"/>
    </w:rPr>
  </w:style>
  <w:style w:type="paragraph" w:customStyle="1" w:styleId="106">
    <w:name w:val="标准书眉一"/>
    <w:qFormat/>
    <w:uiPriority w:val="0"/>
    <w:pPr>
      <w:ind w:left="420"/>
      <w:jc w:val="both"/>
    </w:pPr>
    <w:rPr>
      <w:rFonts w:ascii="Times New Roman" w:hAnsi="Times New Roman" w:eastAsia="宋体" w:cs="Times New Roman"/>
      <w:lang w:val="en-US" w:eastAsia="zh-CN" w:bidi="ar-SA"/>
    </w:rPr>
  </w:style>
  <w:style w:type="paragraph" w:customStyle="1" w:styleId="107">
    <w:name w:val="封面正文"/>
    <w:qFormat/>
    <w:uiPriority w:val="0"/>
    <w:pPr>
      <w:ind w:left="420"/>
      <w:jc w:val="both"/>
    </w:pPr>
    <w:rPr>
      <w:rFonts w:ascii="Times New Roman" w:hAnsi="Times New Roman" w:eastAsia="宋体" w:cs="Times New Roman"/>
      <w:lang w:val="en-US" w:eastAsia="zh-CN" w:bidi="ar-SA"/>
    </w:rPr>
  </w:style>
  <w:style w:type="paragraph" w:customStyle="1" w:styleId="108">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109">
    <w:name w:val="标准书脚_奇数页"/>
    <w:qFormat/>
    <w:uiPriority w:val="0"/>
    <w:pPr>
      <w:spacing w:before="120"/>
      <w:ind w:left="420" w:right="198"/>
      <w:jc w:val="right"/>
    </w:pPr>
    <w:rPr>
      <w:rFonts w:ascii="宋体" w:hAnsi="Times New Roman" w:eastAsia="宋体" w:cs="Times New Roman"/>
      <w:sz w:val="18"/>
      <w:szCs w:val="18"/>
      <w:lang w:val="en-US" w:eastAsia="zh-CN" w:bidi="ar-SA"/>
    </w:rPr>
  </w:style>
  <w:style w:type="paragraph" w:customStyle="1" w:styleId="110">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111">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2">
    <w:name w:val="示例"/>
    <w:next w:val="113"/>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13">
    <w:name w:val="示例内容"/>
    <w:qFormat/>
    <w:uiPriority w:val="0"/>
    <w:pPr>
      <w:ind w:left="420" w:firstLine="200" w:firstLineChars="200"/>
      <w:jc w:val="both"/>
    </w:pPr>
    <w:rPr>
      <w:rFonts w:ascii="宋体" w:hAnsi="Times New Roman" w:eastAsia="宋体" w:cs="Times New Roman"/>
      <w:sz w:val="18"/>
      <w:szCs w:val="18"/>
      <w:lang w:val="en-US" w:eastAsia="zh-CN" w:bidi="ar-SA"/>
    </w:rPr>
  </w:style>
  <w:style w:type="paragraph" w:customStyle="1" w:styleId="114">
    <w:name w:val="列项◆（三级）"/>
    <w:basedOn w:val="1"/>
    <w:qFormat/>
    <w:uiPriority w:val="0"/>
    <w:pPr>
      <w:numPr>
        <w:ilvl w:val="2"/>
        <w:numId w:val="7"/>
      </w:numPr>
    </w:pPr>
    <w:rPr>
      <w:rFonts w:ascii="宋体"/>
      <w:szCs w:val="21"/>
    </w:rPr>
  </w:style>
  <w:style w:type="paragraph" w:customStyle="1" w:styleId="115">
    <w:name w:val="注："/>
    <w:next w:val="26"/>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1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图表脚注说明"/>
    <w:basedOn w:val="1"/>
    <w:qFormat/>
    <w:uiPriority w:val="0"/>
    <w:pPr>
      <w:numPr>
        <w:ilvl w:val="0"/>
        <w:numId w:val="13"/>
      </w:numPr>
    </w:pPr>
    <w:rPr>
      <w:rFonts w:ascii="宋体"/>
      <w:sz w:val="18"/>
      <w:szCs w:val="18"/>
    </w:rPr>
  </w:style>
  <w:style w:type="paragraph" w:customStyle="1" w:styleId="118">
    <w:name w:val="封面标准号2"/>
    <w:qFormat/>
    <w:uiPriority w:val="0"/>
    <w:pPr>
      <w:framePr w:w="9140" w:h="1242" w:hRule="exact" w:hSpace="284" w:wrap="around" w:vAnchor="page" w:hAnchor="page" w:x="1645" w:y="2910" w:anchorLock="1"/>
      <w:spacing w:before="357" w:line="280" w:lineRule="exact"/>
      <w:ind w:left="420"/>
      <w:jc w:val="right"/>
    </w:pPr>
    <w:rPr>
      <w:rFonts w:ascii="黑体" w:hAnsi="Times New Roman" w:eastAsia="黑体" w:cs="Times New Roman"/>
      <w:sz w:val="28"/>
      <w:szCs w:val="28"/>
      <w:lang w:val="en-US" w:eastAsia="zh-CN" w:bidi="ar-SA"/>
    </w:rPr>
  </w:style>
  <w:style w:type="paragraph" w:customStyle="1" w:styleId="119">
    <w:name w:val="其他发布日期"/>
    <w:basedOn w:val="64"/>
    <w:qFormat/>
    <w:uiPriority w:val="0"/>
    <w:pPr>
      <w:framePr w:wrap="around" w:vAnchor="page" w:hAnchor="text" w:x="1419"/>
    </w:pPr>
  </w:style>
  <w:style w:type="paragraph" w:customStyle="1" w:styleId="120">
    <w:name w:val="附录二级无"/>
    <w:basedOn w:val="57"/>
    <w:qFormat/>
    <w:uiPriority w:val="0"/>
    <w:pPr>
      <w:tabs>
        <w:tab w:val="clear" w:pos="360"/>
      </w:tabs>
      <w:spacing w:beforeLines="0" w:afterLines="0"/>
    </w:pPr>
    <w:rPr>
      <w:rFonts w:ascii="宋体" w:eastAsia="宋体"/>
      <w:szCs w:val="21"/>
    </w:rPr>
  </w:style>
  <w:style w:type="paragraph" w:customStyle="1" w:styleId="121">
    <w:name w:val="封面标准文稿类别2"/>
    <w:basedOn w:val="72"/>
    <w:qFormat/>
    <w:uiPriority w:val="0"/>
    <w:pPr>
      <w:framePr w:wrap="around" w:y="4469"/>
    </w:pPr>
  </w:style>
  <w:style w:type="paragraph" w:customStyle="1" w:styleId="122">
    <w:name w:val="标准书眉_偶数页"/>
    <w:basedOn w:val="90"/>
    <w:next w:val="1"/>
    <w:qFormat/>
    <w:uiPriority w:val="0"/>
    <w:pPr>
      <w:jc w:val="left"/>
    </w:pPr>
  </w:style>
  <w:style w:type="paragraph" w:customStyle="1" w:styleId="123">
    <w:name w:val="无间隔1"/>
    <w:qFormat/>
    <w:uiPriority w:val="1"/>
    <w:pPr>
      <w:widowControl w:val="0"/>
      <w:ind w:left="420"/>
      <w:jc w:val="both"/>
    </w:pPr>
    <w:rPr>
      <w:rFonts w:ascii="Times New Roman" w:hAnsi="Times New Roman" w:eastAsia="宋体" w:cs="Times New Roman"/>
      <w:kern w:val="2"/>
      <w:sz w:val="21"/>
      <w:szCs w:val="24"/>
      <w:lang w:val="en-US" w:eastAsia="zh-CN" w:bidi="ar-SA"/>
    </w:rPr>
  </w:style>
  <w:style w:type="paragraph" w:customStyle="1" w:styleId="124">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125">
    <w:name w:val="发布部门"/>
    <w:next w:val="26"/>
    <w:qFormat/>
    <w:uiPriority w:val="0"/>
    <w:pPr>
      <w:framePr w:w="7938" w:h="1134" w:hRule="exact" w:hSpace="125" w:vSpace="181" w:wrap="around" w:vAnchor="page" w:hAnchor="page" w:x="2150" w:y="14630" w:anchorLock="1"/>
      <w:ind w:left="420"/>
      <w:jc w:val="center"/>
    </w:pPr>
    <w:rPr>
      <w:rFonts w:ascii="宋体" w:hAnsi="Times New Roman" w:eastAsia="宋体" w:cs="Times New Roman"/>
      <w:b/>
      <w:spacing w:val="20"/>
      <w:w w:val="135"/>
      <w:sz w:val="28"/>
      <w:lang w:val="en-US" w:eastAsia="zh-CN" w:bidi="ar-SA"/>
    </w:rPr>
  </w:style>
  <w:style w:type="paragraph" w:customStyle="1" w:styleId="126">
    <w:name w:val="注：（正文）"/>
    <w:basedOn w:val="115"/>
    <w:next w:val="26"/>
    <w:qFormat/>
    <w:uiPriority w:val="0"/>
    <w:pPr>
      <w:numPr>
        <w:ilvl w:val="0"/>
        <w:numId w:val="14"/>
      </w:numPr>
      <w:ind w:left="2490"/>
    </w:pPr>
  </w:style>
  <w:style w:type="paragraph" w:customStyle="1" w:styleId="127">
    <w:name w:val="封面标准文稿编辑信息"/>
    <w:basedOn w:val="72"/>
    <w:qFormat/>
    <w:uiPriority w:val="0"/>
    <w:pPr>
      <w:framePr w:wrap="around"/>
      <w:spacing w:before="180" w:line="180" w:lineRule="exact"/>
    </w:pPr>
    <w:rPr>
      <w:sz w:val="21"/>
    </w:rPr>
  </w:style>
  <w:style w:type="paragraph" w:customStyle="1" w:styleId="128">
    <w:name w:val="列项说明数字编号"/>
    <w:qFormat/>
    <w:uiPriority w:val="0"/>
    <w:pPr>
      <w:ind w:left="600" w:leftChars="400" w:hanging="200" w:hangingChars="200"/>
      <w:jc w:val="both"/>
    </w:pPr>
    <w:rPr>
      <w:rFonts w:ascii="宋体" w:hAnsi="Times New Roman" w:eastAsia="宋体" w:cs="Times New Roman"/>
      <w:sz w:val="21"/>
      <w:lang w:val="en-US" w:eastAsia="zh-CN" w:bidi="ar-SA"/>
    </w:rPr>
  </w:style>
  <w:style w:type="paragraph" w:customStyle="1" w:styleId="129">
    <w:name w:val="封面标准文稿编辑信息2"/>
    <w:basedOn w:val="127"/>
    <w:qFormat/>
    <w:uiPriority w:val="0"/>
    <w:pPr>
      <w:framePr w:wrap="around" w:y="4469"/>
    </w:pPr>
  </w:style>
  <w:style w:type="paragraph" w:customStyle="1" w:styleId="130">
    <w:name w:val="数字编号列项（二级）"/>
    <w:qFormat/>
    <w:uiPriority w:val="0"/>
    <w:pPr>
      <w:numPr>
        <w:ilvl w:val="1"/>
        <w:numId w:val="15"/>
      </w:numPr>
      <w:jc w:val="both"/>
    </w:pPr>
    <w:rPr>
      <w:rFonts w:ascii="宋体" w:hAnsi="Times New Roman" w:eastAsia="宋体" w:cs="Times New Roman"/>
      <w:sz w:val="21"/>
      <w:lang w:val="en-US" w:eastAsia="zh-CN" w:bidi="ar-SA"/>
    </w:rPr>
  </w:style>
  <w:style w:type="paragraph" w:customStyle="1" w:styleId="131">
    <w:name w:val="首示例"/>
    <w:next w:val="26"/>
    <w:link w:val="147"/>
    <w:qFormat/>
    <w:uiPriority w:val="0"/>
    <w:pPr>
      <w:numPr>
        <w:ilvl w:val="0"/>
        <w:numId w:val="16"/>
      </w:numPr>
      <w:tabs>
        <w:tab w:val="left" w:pos="360"/>
      </w:tabs>
      <w:ind w:firstLine="0"/>
      <w:jc w:val="both"/>
    </w:pPr>
    <w:rPr>
      <w:rFonts w:ascii="宋体" w:hAnsi="宋体" w:eastAsia="宋体" w:cs="Times New Roman"/>
      <w:kern w:val="2"/>
      <w:sz w:val="18"/>
      <w:szCs w:val="18"/>
      <w:lang w:val="en-US" w:eastAsia="zh-CN" w:bidi="ar-SA"/>
    </w:rPr>
  </w:style>
  <w:style w:type="paragraph" w:customStyle="1" w:styleId="132">
    <w:name w:val="封面一致性程度标识2"/>
    <w:basedOn w:val="68"/>
    <w:qFormat/>
    <w:uiPriority w:val="0"/>
    <w:pPr>
      <w:framePr w:wrap="around" w:y="4469"/>
    </w:pPr>
  </w:style>
  <w:style w:type="paragraph" w:customStyle="1" w:styleId="133">
    <w:name w:val="其他发布部门"/>
    <w:basedOn w:val="125"/>
    <w:qFormat/>
    <w:uiPriority w:val="0"/>
    <w:pPr>
      <w:framePr w:wrap="around" w:y="15310"/>
      <w:spacing w:line="0" w:lineRule="atLeast"/>
    </w:pPr>
    <w:rPr>
      <w:rFonts w:ascii="黑体" w:eastAsia="黑体"/>
      <w:b w:val="0"/>
    </w:rPr>
  </w:style>
  <w:style w:type="paragraph" w:customStyle="1" w:styleId="134">
    <w:name w:val="封面标准号1"/>
    <w:qFormat/>
    <w:uiPriority w:val="0"/>
    <w:pPr>
      <w:widowControl w:val="0"/>
      <w:kinsoku w:val="0"/>
      <w:overflowPunct w:val="0"/>
      <w:autoSpaceDE w:val="0"/>
      <w:autoSpaceDN w:val="0"/>
      <w:spacing w:before="308"/>
      <w:ind w:left="420"/>
      <w:jc w:val="right"/>
      <w:textAlignment w:val="center"/>
    </w:pPr>
    <w:rPr>
      <w:rFonts w:ascii="Times New Roman" w:hAnsi="Times New Roman" w:eastAsia="宋体" w:cs="Times New Roman"/>
      <w:sz w:val="28"/>
      <w:lang w:val="en-US" w:eastAsia="zh-CN" w:bidi="ar-SA"/>
    </w:rPr>
  </w:style>
  <w:style w:type="paragraph" w:customStyle="1" w:styleId="135">
    <w:name w:val="一级无"/>
    <w:basedOn w:val="53"/>
    <w:qFormat/>
    <w:uiPriority w:val="0"/>
    <w:pPr>
      <w:spacing w:beforeLines="0" w:afterLines="0"/>
    </w:pPr>
    <w:rPr>
      <w:rFonts w:ascii="宋体" w:eastAsia="宋体"/>
    </w:rPr>
  </w:style>
  <w:style w:type="paragraph" w:customStyle="1" w:styleId="136">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7">
    <w:name w:val="封面标准名称2"/>
    <w:basedOn w:val="58"/>
    <w:qFormat/>
    <w:uiPriority w:val="0"/>
    <w:pPr>
      <w:framePr w:wrap="around" w:y="4469"/>
      <w:spacing w:beforeLines="630"/>
    </w:pPr>
  </w:style>
  <w:style w:type="paragraph" w:customStyle="1" w:styleId="138">
    <w:name w:val="条文脚注"/>
    <w:basedOn w:val="27"/>
    <w:qFormat/>
    <w:uiPriority w:val="0"/>
    <w:pPr>
      <w:numPr>
        <w:numId w:val="0"/>
      </w:numPr>
      <w:jc w:val="both"/>
    </w:pPr>
  </w:style>
  <w:style w:type="paragraph" w:customStyle="1" w:styleId="139">
    <w:name w:val="正文图标题"/>
    <w:next w:val="2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40">
    <w:name w:val="字母编号列项（一级）"/>
    <w:qFormat/>
    <w:uiPriority w:val="0"/>
    <w:pPr>
      <w:numPr>
        <w:ilvl w:val="0"/>
        <w:numId w:val="15"/>
      </w:numPr>
      <w:jc w:val="both"/>
    </w:pPr>
    <w:rPr>
      <w:rFonts w:ascii="宋体" w:hAnsi="Times New Roman" w:eastAsia="宋体" w:cs="Times New Roman"/>
      <w:sz w:val="21"/>
      <w:lang w:val="en-US" w:eastAsia="zh-CN" w:bidi="ar-SA"/>
    </w:rPr>
  </w:style>
  <w:style w:type="paragraph" w:customStyle="1" w:styleId="141">
    <w:name w:val="四级无"/>
    <w:basedOn w:val="50"/>
    <w:qFormat/>
    <w:uiPriority w:val="0"/>
    <w:pPr>
      <w:spacing w:beforeLines="0" w:afterLines="0"/>
    </w:pPr>
    <w:rPr>
      <w:rFonts w:ascii="宋体" w:eastAsia="宋体"/>
    </w:rPr>
  </w:style>
  <w:style w:type="paragraph" w:customStyle="1" w:styleId="142">
    <w:name w:val="注×："/>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43">
    <w:name w:val="文献分类号"/>
    <w:qFormat/>
    <w:uiPriority w:val="0"/>
    <w:pPr>
      <w:framePr w:hSpace="180" w:vSpace="180" w:wrap="around" w:vAnchor="margin" w:hAnchor="margin" w:y="1" w:anchorLock="1"/>
      <w:widowControl w:val="0"/>
      <w:ind w:left="420"/>
      <w:jc w:val="both"/>
      <w:textAlignment w:val="center"/>
    </w:pPr>
    <w:rPr>
      <w:rFonts w:ascii="黑体" w:hAnsi="Times New Roman" w:eastAsia="黑体" w:cs="Times New Roman"/>
      <w:sz w:val="21"/>
      <w:szCs w:val="21"/>
      <w:lang w:val="en-US" w:eastAsia="zh-CN" w:bidi="ar-SA"/>
    </w:rPr>
  </w:style>
  <w:style w:type="paragraph" w:customStyle="1" w:styleId="144">
    <w:name w:val="封面标准英文名称2"/>
    <w:basedOn w:val="69"/>
    <w:qFormat/>
    <w:uiPriority w:val="0"/>
    <w:pPr>
      <w:framePr w:wrap="around" w:y="4469"/>
    </w:pPr>
  </w:style>
  <w:style w:type="paragraph" w:customStyle="1" w:styleId="145">
    <w:name w:val="Body text|2"/>
    <w:basedOn w:val="1"/>
    <w:qFormat/>
    <w:uiPriority w:val="0"/>
    <w:pPr>
      <w:spacing w:line="314" w:lineRule="auto"/>
      <w:ind w:firstLine="840"/>
    </w:pPr>
    <w:rPr>
      <w:color w:val="323232"/>
      <w:sz w:val="42"/>
      <w:szCs w:val="42"/>
    </w:rPr>
  </w:style>
  <w:style w:type="character" w:customStyle="1" w:styleId="146">
    <w:name w:val="批注文字 字符"/>
    <w:basedOn w:val="38"/>
    <w:link w:val="9"/>
    <w:qFormat/>
    <w:uiPriority w:val="0"/>
    <w:rPr>
      <w:kern w:val="2"/>
      <w:sz w:val="21"/>
      <w:szCs w:val="24"/>
    </w:rPr>
  </w:style>
  <w:style w:type="character" w:customStyle="1" w:styleId="147">
    <w:name w:val="首示例 Char"/>
    <w:basedOn w:val="38"/>
    <w:link w:val="131"/>
    <w:qFormat/>
    <w:uiPriority w:val="0"/>
    <w:rPr>
      <w:rFonts w:ascii="宋体" w:hAnsi="宋体"/>
      <w:kern w:val="2"/>
      <w:sz w:val="18"/>
      <w:szCs w:val="18"/>
    </w:rPr>
  </w:style>
  <w:style w:type="character" w:customStyle="1" w:styleId="148">
    <w:name w:val="批注框文本 字符"/>
    <w:basedOn w:val="38"/>
    <w:link w:val="19"/>
    <w:qFormat/>
    <w:uiPriority w:val="0"/>
    <w:rPr>
      <w:kern w:val="2"/>
      <w:sz w:val="18"/>
      <w:szCs w:val="18"/>
    </w:rPr>
  </w:style>
  <w:style w:type="character" w:customStyle="1" w:styleId="149">
    <w:name w:val="font31"/>
    <w:basedOn w:val="38"/>
    <w:qFormat/>
    <w:uiPriority w:val="0"/>
    <w:rPr>
      <w:rFonts w:ascii="Arial Unicode MS" w:hAnsi="Arial Unicode MS" w:eastAsia="Arial Unicode MS" w:cs="Arial Unicode MS"/>
      <w:color w:val="000000"/>
      <w:sz w:val="20"/>
      <w:szCs w:val="20"/>
      <w:u w:val="none"/>
    </w:rPr>
  </w:style>
  <w:style w:type="character" w:customStyle="1" w:styleId="150">
    <w:name w:val="标题 1 字符"/>
    <w:basedOn w:val="38"/>
    <w:link w:val="2"/>
    <w:qFormat/>
    <w:uiPriority w:val="0"/>
    <w:rPr>
      <w:b/>
      <w:bCs/>
      <w:kern w:val="44"/>
      <w:sz w:val="44"/>
      <w:szCs w:val="44"/>
    </w:rPr>
  </w:style>
  <w:style w:type="character" w:customStyle="1" w:styleId="151">
    <w:name w:val="font41"/>
    <w:basedOn w:val="38"/>
    <w:qFormat/>
    <w:uiPriority w:val="0"/>
    <w:rPr>
      <w:rFonts w:hint="default" w:ascii="Times New Roman" w:hAnsi="Times New Roman" w:cs="Times New Roman"/>
      <w:color w:val="000000"/>
      <w:sz w:val="20"/>
      <w:szCs w:val="20"/>
      <w:u w:val="none"/>
    </w:rPr>
  </w:style>
  <w:style w:type="character" w:customStyle="1" w:styleId="152">
    <w:name w:val="font11"/>
    <w:basedOn w:val="38"/>
    <w:qFormat/>
    <w:uiPriority w:val="0"/>
    <w:rPr>
      <w:rFonts w:hint="eastAsia" w:ascii="宋体" w:hAnsi="宋体" w:eastAsia="宋体" w:cs="宋体"/>
      <w:i/>
      <w:color w:val="000000"/>
      <w:sz w:val="20"/>
      <w:szCs w:val="20"/>
      <w:u w:val="none"/>
    </w:rPr>
  </w:style>
  <w:style w:type="character" w:customStyle="1" w:styleId="153">
    <w:name w:val="发布"/>
    <w:basedOn w:val="38"/>
    <w:qFormat/>
    <w:uiPriority w:val="0"/>
    <w:rPr>
      <w:rFonts w:ascii="黑体" w:eastAsia="黑体"/>
      <w:spacing w:val="85"/>
      <w:w w:val="100"/>
      <w:position w:val="3"/>
      <w:sz w:val="28"/>
      <w:szCs w:val="28"/>
    </w:rPr>
  </w:style>
  <w:style w:type="character" w:customStyle="1" w:styleId="154">
    <w:name w:val="批注主题 字符"/>
    <w:basedOn w:val="146"/>
    <w:link w:val="35"/>
    <w:qFormat/>
    <w:uiPriority w:val="0"/>
    <w:rPr>
      <w:b/>
      <w:bCs/>
      <w:kern w:val="2"/>
      <w:sz w:val="21"/>
      <w:szCs w:val="24"/>
    </w:rPr>
  </w:style>
  <w:style w:type="character" w:customStyle="1" w:styleId="155">
    <w:name w:val="页脚 字符"/>
    <w:basedOn w:val="38"/>
    <w:link w:val="20"/>
    <w:qFormat/>
    <w:uiPriority w:val="99"/>
    <w:rPr>
      <w:kern w:val="2"/>
      <w:sz w:val="18"/>
      <w:szCs w:val="18"/>
    </w:rPr>
  </w:style>
  <w:style w:type="character" w:customStyle="1" w:styleId="156">
    <w:name w:val="段 Char"/>
    <w:basedOn w:val="38"/>
    <w:link w:val="26"/>
    <w:qFormat/>
    <w:uiPriority w:val="0"/>
    <w:rPr>
      <w:rFonts w:ascii="宋体"/>
      <w:sz w:val="21"/>
      <w:lang w:val="en-US" w:eastAsia="zh-CN" w:bidi="ar-SA"/>
    </w:rPr>
  </w:style>
  <w:style w:type="character" w:customStyle="1" w:styleId="157">
    <w:name w:val="附录公式 Char"/>
    <w:basedOn w:val="156"/>
    <w:link w:val="89"/>
    <w:qFormat/>
    <w:uiPriority w:val="0"/>
    <w:rPr>
      <w:rFonts w:ascii="宋体"/>
      <w:sz w:val="21"/>
      <w:lang w:val="en-US" w:eastAsia="zh-CN" w:bidi="ar-SA"/>
    </w:rPr>
  </w:style>
  <w:style w:type="character" w:customStyle="1" w:styleId="158">
    <w:name w:val="日期 字符"/>
    <w:basedOn w:val="38"/>
    <w:link w:val="17"/>
    <w:semiHidden/>
    <w:qFormat/>
    <w:uiPriority w:val="0"/>
    <w:rPr>
      <w:kern w:val="2"/>
      <w:sz w:val="21"/>
      <w:szCs w:val="24"/>
    </w:rPr>
  </w:style>
  <w:style w:type="character" w:customStyle="1" w:styleId="159">
    <w:name w:val="正文文本 字符"/>
    <w:basedOn w:val="38"/>
    <w:link w:val="11"/>
    <w:qFormat/>
    <w:uiPriority w:val="1"/>
    <w:rPr>
      <w:rFonts w:eastAsia="Times New Roman"/>
      <w:sz w:val="21"/>
      <w:szCs w:val="21"/>
      <w:lang w:eastAsia="en-US"/>
    </w:rPr>
  </w:style>
  <w:style w:type="paragraph" w:styleId="160">
    <w:name w:val="List Paragraph"/>
    <w:basedOn w:val="1"/>
    <w:qFormat/>
    <w:uiPriority w:val="1"/>
    <w:pPr>
      <w:autoSpaceDE w:val="0"/>
      <w:autoSpaceDN w:val="0"/>
      <w:spacing w:before="65"/>
      <w:ind w:left="427" w:hanging="315"/>
      <w:jc w:val="left"/>
    </w:pPr>
    <w:rPr>
      <w:rFonts w:eastAsia="Times New Roman"/>
      <w:kern w:val="0"/>
      <w:sz w:val="22"/>
      <w:szCs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16</Pages>
  <Words>5314</Words>
  <Characters>5991</Characters>
  <Lines>51</Lines>
  <Paragraphs>14</Paragraphs>
  <TotalTime>2</TotalTime>
  <ScaleCrop>false</ScaleCrop>
  <LinksUpToDate>false</LinksUpToDate>
  <CharactersWithSpaces>6204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2022-11-14T13:42:00Z</dcterms:created>
  <dc:creator>CNIS</dc:creator>
  <cp:lastModifiedBy>王琪晨-中集海工</cp:lastModifiedBy>
  <cp:lastPrinted>2020-01-07T17:20:00Z</cp:lastPrinted>
  <dcterms:modified xsi:type="dcterms:W3CDTF">2022-11-18T06:24:47Z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C70BD810D9BC4C6296BAF79CBE40000F</vt:lpwstr>
  </property>
</Properties>
</file>