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76" w:rsidRDefault="00A03176">
      <w:pPr>
        <w:jc w:val="center"/>
        <w:textAlignment w:val="baseline"/>
        <w:rPr>
          <w:sz w:val="48"/>
          <w:szCs w:val="52"/>
        </w:rPr>
      </w:pPr>
      <w:bookmarkStart w:id="0" w:name="_GoBack"/>
      <w:bookmarkEnd w:id="0"/>
    </w:p>
    <w:p w:rsidR="00A03176" w:rsidRDefault="00A03176">
      <w:pPr>
        <w:jc w:val="center"/>
        <w:textAlignment w:val="baseline"/>
        <w:rPr>
          <w:sz w:val="48"/>
          <w:szCs w:val="52"/>
        </w:rPr>
      </w:pPr>
    </w:p>
    <w:p w:rsidR="00A03176" w:rsidRDefault="00A03176">
      <w:pPr>
        <w:jc w:val="center"/>
        <w:textAlignment w:val="baseline"/>
        <w:rPr>
          <w:rFonts w:ascii="黑体" w:eastAsia="黑体" w:hAnsi="黑体"/>
          <w:sz w:val="48"/>
          <w:szCs w:val="52"/>
        </w:rPr>
      </w:pPr>
    </w:p>
    <w:p w:rsidR="00A03176" w:rsidRDefault="001A6DEC">
      <w:pPr>
        <w:jc w:val="center"/>
        <w:textAlignment w:val="baseline"/>
        <w:rPr>
          <w:rFonts w:ascii="黑体" w:eastAsia="黑体" w:hAnsi="黑体"/>
          <w:sz w:val="48"/>
          <w:szCs w:val="48"/>
        </w:rPr>
      </w:pPr>
      <w:r>
        <w:rPr>
          <w:rFonts w:ascii="黑体" w:eastAsia="黑体" w:hAnsi="黑体"/>
          <w:sz w:val="48"/>
          <w:szCs w:val="48"/>
        </w:rPr>
        <w:t>《</w:t>
      </w:r>
      <w:r>
        <w:rPr>
          <w:rFonts w:ascii="黑体" w:eastAsia="黑体" w:hAnsi="黑体" w:hint="eastAsia"/>
          <w:sz w:val="48"/>
          <w:szCs w:val="48"/>
        </w:rPr>
        <w:t>无取向电工钢环保型绝缘涂层</w:t>
      </w:r>
      <w:r>
        <w:rPr>
          <w:rFonts w:ascii="黑体" w:eastAsia="黑体" w:hAnsi="黑体"/>
          <w:sz w:val="48"/>
          <w:szCs w:val="48"/>
        </w:rPr>
        <w:t>》</w:t>
      </w:r>
    </w:p>
    <w:p w:rsidR="00A03176" w:rsidRDefault="001A6DEC">
      <w:pPr>
        <w:jc w:val="center"/>
        <w:textAlignment w:val="baseline"/>
        <w:rPr>
          <w:rFonts w:ascii="黑体" w:eastAsia="黑体" w:hAnsi="黑体"/>
          <w:sz w:val="48"/>
          <w:szCs w:val="48"/>
        </w:rPr>
      </w:pPr>
      <w:r>
        <w:rPr>
          <w:rFonts w:ascii="黑体" w:eastAsia="黑体" w:hAnsi="黑体"/>
          <w:sz w:val="48"/>
          <w:szCs w:val="48"/>
        </w:rPr>
        <w:t>团体标准编制说明</w:t>
      </w:r>
    </w:p>
    <w:p w:rsidR="00A03176" w:rsidRDefault="00A03176">
      <w:pPr>
        <w:textAlignment w:val="baseline"/>
        <w:rPr>
          <w:sz w:val="20"/>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A03176">
      <w:pPr>
        <w:jc w:val="center"/>
        <w:textAlignment w:val="baseline"/>
        <w:rPr>
          <w:sz w:val="36"/>
          <w:szCs w:val="44"/>
        </w:rPr>
      </w:pPr>
    </w:p>
    <w:p w:rsidR="00A03176" w:rsidRDefault="001A6DEC">
      <w:pPr>
        <w:jc w:val="center"/>
        <w:textAlignment w:val="baseline"/>
        <w:rPr>
          <w:b/>
          <w:sz w:val="36"/>
          <w:szCs w:val="44"/>
        </w:rPr>
        <w:sectPr w:rsidR="00A03176">
          <w:pgSz w:w="11906" w:h="16838"/>
          <w:pgMar w:top="1440" w:right="1800" w:bottom="1440" w:left="1800" w:header="851" w:footer="992" w:gutter="0"/>
          <w:cols w:space="425"/>
          <w:docGrid w:type="lines" w:linePitch="312"/>
        </w:sectPr>
      </w:pPr>
      <w:r>
        <w:rPr>
          <w:rFonts w:hAnsi="宋体"/>
          <w:b/>
          <w:sz w:val="36"/>
          <w:szCs w:val="44"/>
        </w:rPr>
        <w:t>二零</w:t>
      </w:r>
      <w:r>
        <w:rPr>
          <w:rFonts w:hAnsi="宋体" w:hint="eastAsia"/>
          <w:b/>
          <w:sz w:val="36"/>
          <w:szCs w:val="44"/>
        </w:rPr>
        <w:t>二</w:t>
      </w:r>
      <w:r>
        <w:rPr>
          <w:rFonts w:hAnsi="宋体" w:hint="eastAsia"/>
          <w:b/>
          <w:sz w:val="36"/>
          <w:szCs w:val="44"/>
        </w:rPr>
        <w:t>二</w:t>
      </w:r>
      <w:r>
        <w:rPr>
          <w:rFonts w:hAnsi="宋体"/>
          <w:b/>
          <w:sz w:val="36"/>
          <w:szCs w:val="44"/>
        </w:rPr>
        <w:t>年</w:t>
      </w:r>
      <w:r>
        <w:rPr>
          <w:rFonts w:hAnsi="宋体" w:hint="eastAsia"/>
          <w:b/>
          <w:sz w:val="36"/>
          <w:szCs w:val="44"/>
        </w:rPr>
        <w:t>八</w:t>
      </w:r>
      <w:r>
        <w:rPr>
          <w:rFonts w:hAnsi="宋体"/>
          <w:b/>
          <w:sz w:val="36"/>
          <w:szCs w:val="44"/>
        </w:rPr>
        <w:t>月</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lastRenderedPageBreak/>
        <w:t>一、工作概况</w:t>
      </w:r>
    </w:p>
    <w:p w:rsidR="00A03176" w:rsidRDefault="001A6DEC">
      <w:pPr>
        <w:spacing w:line="360" w:lineRule="auto"/>
        <w:textAlignment w:val="baseline"/>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任务来源</w:t>
      </w:r>
    </w:p>
    <w:p w:rsidR="00A03176" w:rsidRDefault="001A6DEC">
      <w:pPr>
        <w:spacing w:line="360" w:lineRule="auto"/>
        <w:ind w:firstLineChars="200" w:firstLine="480"/>
        <w:textAlignment w:val="baseline"/>
        <w:rPr>
          <w:rFonts w:ascii="宋体" w:hAnsi="宋体" w:cs="宋体"/>
          <w:sz w:val="24"/>
        </w:rPr>
      </w:pPr>
      <w:r>
        <w:rPr>
          <w:rFonts w:ascii="宋体" w:hAnsi="宋体" w:cs="宋体" w:hint="eastAsia"/>
          <w:sz w:val="24"/>
        </w:rPr>
        <w:t>根据无取向</w:t>
      </w:r>
      <w:r>
        <w:rPr>
          <w:rFonts w:ascii="宋体" w:hAnsi="宋体" w:cs="宋体" w:hint="eastAsia"/>
          <w:sz w:val="24"/>
        </w:rPr>
        <w:t>电工钢环保型绝缘涂层</w:t>
      </w:r>
      <w:r>
        <w:rPr>
          <w:rFonts w:ascii="宋体" w:hAnsi="宋体" w:cs="宋体" w:hint="eastAsia"/>
          <w:sz w:val="24"/>
        </w:rPr>
        <w:t>的市场需求和发展状况，由中国金属学会提出。</w:t>
      </w:r>
    </w:p>
    <w:p w:rsidR="00A03176" w:rsidRDefault="001A6DEC">
      <w:pPr>
        <w:numPr>
          <w:ilvl w:val="0"/>
          <w:numId w:val="2"/>
        </w:numPr>
        <w:spacing w:line="360" w:lineRule="auto"/>
        <w:textAlignment w:val="baseline"/>
        <w:rPr>
          <w:rFonts w:ascii="宋体" w:hAnsi="宋体" w:cs="宋体"/>
          <w:sz w:val="24"/>
        </w:rPr>
      </w:pPr>
      <w:r>
        <w:rPr>
          <w:rFonts w:ascii="宋体" w:hAnsi="宋体" w:cs="宋体" w:hint="eastAsia"/>
          <w:sz w:val="24"/>
        </w:rPr>
        <w:t>制定本标准的目的和意义</w:t>
      </w:r>
    </w:p>
    <w:p w:rsidR="00A03176" w:rsidRDefault="001A6DEC">
      <w:pPr>
        <w:spacing w:line="360" w:lineRule="auto"/>
        <w:ind w:firstLineChars="200" w:firstLine="480"/>
        <w:textAlignment w:val="baseline"/>
        <w:rPr>
          <w:rStyle w:val="NormalCharacter"/>
          <w:rFonts w:ascii="宋体" w:hAnsi="宋体" w:cs="宋体"/>
          <w:color w:val="000000"/>
          <w:sz w:val="24"/>
        </w:rPr>
      </w:pPr>
      <w:r>
        <w:rPr>
          <w:rStyle w:val="NormalCharacter"/>
          <w:rFonts w:ascii="宋体" w:hAnsi="宋体" w:cs="宋体" w:hint="eastAsia"/>
          <w:sz w:val="24"/>
        </w:rPr>
        <w:t>目前中国电工钢产量已经世界第一，其生产技术、装备及综合质量水平已走在世界前列，但涂层方面，尤其是环保涂层还落后于发达国家。国内电工钢的表面涂层依然以含铬酸盐涂料为主，还没有全面推行使用无铬硅钢涂层产品，加快推</w:t>
      </w:r>
      <w:r>
        <w:rPr>
          <w:rStyle w:val="NormalCharacter"/>
          <w:rFonts w:ascii="宋体" w:hAnsi="宋体" w:cs="宋体" w:hint="eastAsia"/>
          <w:color w:val="000000"/>
          <w:sz w:val="24"/>
        </w:rPr>
        <w:t>行环保涂层是电工钢高质量发展的需要，</w:t>
      </w:r>
      <w:r>
        <w:rPr>
          <w:rStyle w:val="NormalCharacter"/>
          <w:rFonts w:ascii="宋体" w:hAnsi="宋体" w:cs="宋体" w:hint="eastAsia"/>
          <w:color w:val="000000"/>
          <w:sz w:val="24"/>
        </w:rPr>
        <w:t>势在必行</w:t>
      </w:r>
      <w:r>
        <w:rPr>
          <w:rStyle w:val="NormalCharacter"/>
          <w:rFonts w:ascii="宋体" w:hAnsi="宋体" w:cs="宋体" w:hint="eastAsia"/>
          <w:color w:val="000000"/>
          <w:sz w:val="24"/>
        </w:rPr>
        <w:t>，更有利于电工钢产品出口</w:t>
      </w:r>
      <w:r>
        <w:rPr>
          <w:rStyle w:val="NormalCharacter"/>
          <w:rFonts w:ascii="宋体" w:hAnsi="宋体" w:cs="宋体" w:hint="eastAsia"/>
          <w:color w:val="000000"/>
          <w:sz w:val="24"/>
        </w:rPr>
        <w:t>。</w:t>
      </w:r>
    </w:p>
    <w:p w:rsidR="00A03176" w:rsidRDefault="001A6DEC">
      <w:pPr>
        <w:widowControl/>
        <w:snapToGrid w:val="0"/>
        <w:spacing w:line="360" w:lineRule="auto"/>
        <w:ind w:firstLineChars="200" w:firstLine="480"/>
        <w:textAlignment w:val="baseline"/>
        <w:rPr>
          <w:rStyle w:val="NormalCharacter"/>
          <w:rFonts w:ascii="宋体" w:hAnsi="宋体" w:cs="宋体"/>
          <w:sz w:val="24"/>
        </w:rPr>
      </w:pPr>
      <w:r>
        <w:rPr>
          <w:rStyle w:val="NormalCharacter"/>
          <w:rFonts w:ascii="宋体" w:hAnsi="宋体" w:cs="宋体" w:hint="eastAsia"/>
          <w:sz w:val="24"/>
        </w:rPr>
        <w:t>铬酸盐涂料从生产、到使用会产生含六价铬废液，处理达标非常困难，同时淘汰的废旧电机的含铬涂层会对环境有长期的持续的影响，并且处理过程难以管理控制，因此最好的办法就是用无铬涂层取代含铬涂层。</w:t>
      </w:r>
    </w:p>
    <w:p w:rsidR="00A03176" w:rsidRDefault="001A6DEC">
      <w:pPr>
        <w:widowControl/>
        <w:snapToGrid w:val="0"/>
        <w:spacing w:line="360" w:lineRule="auto"/>
        <w:ind w:firstLineChars="200" w:firstLine="480"/>
        <w:textAlignment w:val="baseline"/>
        <w:rPr>
          <w:rStyle w:val="NormalCharacter"/>
          <w:rFonts w:ascii="宋体" w:hAnsi="宋体" w:cs="宋体"/>
          <w:sz w:val="24"/>
        </w:rPr>
      </w:pPr>
      <w:r>
        <w:rPr>
          <w:rStyle w:val="NormalCharacter"/>
          <w:rFonts w:ascii="宋体" w:hAnsi="宋体" w:cs="宋体" w:hint="eastAsia"/>
          <w:bCs/>
          <w:sz w:val="24"/>
        </w:rPr>
        <w:t>据中国金属学会电工钢分会统计：我国</w:t>
      </w:r>
      <w:r>
        <w:rPr>
          <w:rStyle w:val="NormalCharacter"/>
          <w:rFonts w:ascii="宋体" w:hAnsi="宋体" w:cs="宋体" w:hint="eastAsia"/>
          <w:bCs/>
          <w:sz w:val="24"/>
        </w:rPr>
        <w:t>2021</w:t>
      </w:r>
      <w:r>
        <w:rPr>
          <w:rStyle w:val="NormalCharacter"/>
          <w:rFonts w:ascii="宋体" w:hAnsi="宋体" w:cs="宋体" w:hint="eastAsia"/>
          <w:bCs/>
          <w:sz w:val="24"/>
        </w:rPr>
        <w:t>年无取向电工钢产能约达</w:t>
      </w:r>
      <w:r>
        <w:rPr>
          <w:rStyle w:val="NormalCharacter"/>
          <w:rFonts w:ascii="宋体" w:hAnsi="宋体" w:cs="宋体" w:hint="eastAsia"/>
          <w:bCs/>
          <w:sz w:val="24"/>
        </w:rPr>
        <w:t>1147</w:t>
      </w:r>
      <w:r>
        <w:rPr>
          <w:rStyle w:val="NormalCharacter"/>
          <w:rFonts w:ascii="宋体" w:hAnsi="宋体" w:cs="宋体" w:hint="eastAsia"/>
          <w:bCs/>
          <w:sz w:val="24"/>
        </w:rPr>
        <w:t>万吨，吨钢消耗按</w:t>
      </w:r>
      <w:r>
        <w:rPr>
          <w:rStyle w:val="NormalCharacter"/>
          <w:rFonts w:ascii="宋体" w:hAnsi="宋体" w:cs="宋体" w:hint="eastAsia"/>
          <w:bCs/>
          <w:sz w:val="24"/>
        </w:rPr>
        <w:t>3kg</w:t>
      </w:r>
      <w:r>
        <w:rPr>
          <w:rStyle w:val="NormalCharacter"/>
          <w:rFonts w:ascii="宋体" w:hAnsi="宋体" w:cs="宋体" w:hint="eastAsia"/>
          <w:bCs/>
          <w:sz w:val="24"/>
        </w:rPr>
        <w:t>绝缘涂层计算，全年消耗无取向涂层液达</w:t>
      </w:r>
      <w:r>
        <w:rPr>
          <w:rStyle w:val="NormalCharacter"/>
          <w:rFonts w:ascii="宋体" w:hAnsi="宋体" w:cs="宋体" w:hint="eastAsia"/>
          <w:bCs/>
          <w:sz w:val="24"/>
        </w:rPr>
        <w:t>3.44</w:t>
      </w:r>
      <w:r>
        <w:rPr>
          <w:rStyle w:val="NormalCharacter"/>
          <w:rFonts w:ascii="宋体" w:hAnsi="宋体" w:cs="宋体" w:hint="eastAsia"/>
          <w:bCs/>
          <w:sz w:val="24"/>
        </w:rPr>
        <w:t>万吨（不含部分环保厚涂层）。从涂液原料的生产，到涂液的加工和使用，直至无取向电工钢的应用周期，均会对操作环境带来一定的危害。尽管宝武、太钢和首钢等主要电工钢生产厂家已经开发出针对无取向电工钢用环保型绝缘涂液，并进行批量的试生产，各项性能指标也满足下游行业的使用要求，但是由于缺乏政策性指导和下游成本问题，很难全面推广，目前采用环保涂层生产的电工钢所占比例不到</w:t>
      </w:r>
      <w:r>
        <w:rPr>
          <w:rStyle w:val="NormalCharacter"/>
          <w:rFonts w:ascii="宋体" w:hAnsi="宋体" w:cs="宋体" w:hint="eastAsia"/>
          <w:bCs/>
          <w:sz w:val="24"/>
        </w:rPr>
        <w:t>10%</w:t>
      </w:r>
      <w:r>
        <w:rPr>
          <w:rStyle w:val="NormalCharacter"/>
          <w:rFonts w:ascii="宋体" w:hAnsi="宋体" w:cs="宋体" w:hint="eastAsia"/>
          <w:bCs/>
          <w:sz w:val="24"/>
        </w:rPr>
        <w:t>，生产厂家</w:t>
      </w:r>
      <w:r>
        <w:rPr>
          <w:rStyle w:val="NormalCharacter"/>
          <w:rFonts w:ascii="宋体" w:hAnsi="宋体" w:cs="宋体" w:hint="eastAsia"/>
          <w:bCs/>
          <w:sz w:val="24"/>
        </w:rPr>
        <w:t>大量采用的是含铬的涂层液，给涂层废液处理和电子产品的废物处理带来极大的困难，由于含铬重金属给环境带来的污染问题不容忽视。</w:t>
      </w:r>
      <w:r>
        <w:rPr>
          <w:rStyle w:val="NormalCharacter"/>
          <w:rFonts w:ascii="宋体" w:hAnsi="宋体" w:cs="宋体" w:hint="eastAsia"/>
          <w:sz w:val="24"/>
        </w:rPr>
        <w:t>建立电工钢环保涂层标准，不但有利于涂层环保，更是有利于电工钢环保，继而实现绿色机电产品，进一步提升国际竞争力。</w:t>
      </w:r>
    </w:p>
    <w:p w:rsidR="00A03176" w:rsidRDefault="001A6DEC">
      <w:pPr>
        <w:widowControl/>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目前还没有电工钢环保涂层技术标准，随着国家环保政策及电工钢环保涂层产品技术趋于成熟，加快电工钢用户对环保涂层、涂层特点、应用技术的了解，从而进一步的明确和规范技术标准，并形成相应的技术标准，增加环保涂层推广的可行性。</w:t>
      </w:r>
      <w:r>
        <w:rPr>
          <w:rStyle w:val="NormalCharacter"/>
          <w:rFonts w:ascii="宋体" w:hAnsi="宋体" w:cs="宋体" w:hint="eastAsia"/>
          <w:bCs/>
          <w:sz w:val="24"/>
        </w:rPr>
        <w:t>同时</w:t>
      </w:r>
      <w:r>
        <w:rPr>
          <w:rStyle w:val="NormalCharacter"/>
          <w:rFonts w:ascii="宋体" w:hAnsi="宋体" w:cs="宋体" w:hint="eastAsia"/>
          <w:bCs/>
          <w:sz w:val="24"/>
        </w:rPr>
        <w:t>我国电工钢产能结构性过剩，可以通过建立环保涂层国家标准，提高</w:t>
      </w:r>
      <w:r>
        <w:rPr>
          <w:rStyle w:val="NormalCharacter"/>
          <w:rFonts w:ascii="宋体" w:hAnsi="宋体" w:cs="宋体" w:hint="eastAsia"/>
          <w:bCs/>
          <w:sz w:val="24"/>
        </w:rPr>
        <w:t>电工钢生产的技术门槛，有利于改善含铬涂液带来的环境问题，同时也可以淘汰部分环保问题不达标的企业，化解过剩产能。</w:t>
      </w:r>
    </w:p>
    <w:p w:rsidR="00A03176" w:rsidRDefault="001A6DEC">
      <w:pPr>
        <w:numPr>
          <w:ilvl w:val="0"/>
          <w:numId w:val="2"/>
        </w:numPr>
        <w:spacing w:line="360" w:lineRule="auto"/>
        <w:textAlignment w:val="baseline"/>
        <w:rPr>
          <w:rFonts w:ascii="宋体" w:hAnsi="宋体" w:cs="宋体"/>
          <w:sz w:val="24"/>
        </w:rPr>
      </w:pPr>
      <w:r>
        <w:rPr>
          <w:rFonts w:ascii="宋体" w:hAnsi="宋体" w:cs="宋体" w:hint="eastAsia"/>
          <w:sz w:val="24"/>
        </w:rPr>
        <w:lastRenderedPageBreak/>
        <w:t>主要工作过程</w:t>
      </w:r>
    </w:p>
    <w:p w:rsidR="00A03176" w:rsidRDefault="001A6DEC">
      <w:pPr>
        <w:widowControl/>
        <w:snapToGrid w:val="0"/>
        <w:spacing w:line="360" w:lineRule="auto"/>
        <w:ind w:firstLineChars="200" w:firstLine="480"/>
        <w:textAlignment w:val="baseline"/>
        <w:rPr>
          <w:color w:val="000000"/>
          <w:sz w:val="24"/>
        </w:rPr>
      </w:pPr>
      <w:r>
        <w:rPr>
          <w:rStyle w:val="NormalCharacter"/>
          <w:rFonts w:ascii="宋体" w:hAnsi="宋体" w:cs="宋体" w:hint="eastAsia"/>
          <w:bCs/>
          <w:sz w:val="24"/>
        </w:rPr>
        <w:t>本标准由武汉钢实福材新型产品科技有限公司</w:t>
      </w:r>
      <w:r>
        <w:rPr>
          <w:rStyle w:val="NormalCharacter"/>
          <w:rFonts w:ascii="宋体" w:hAnsi="宋体" w:cs="宋体" w:hint="eastAsia"/>
          <w:bCs/>
          <w:sz w:val="24"/>
        </w:rPr>
        <w:t>、</w:t>
      </w:r>
      <w:r>
        <w:rPr>
          <w:rFonts w:hint="eastAsia"/>
          <w:sz w:val="24"/>
        </w:rPr>
        <w:t>扬州汇菁工贸有限公司起草；湖北武州新材料科技有限公司</w:t>
      </w:r>
      <w:r>
        <w:rPr>
          <w:rFonts w:hint="eastAsia"/>
          <w:color w:val="000000"/>
          <w:sz w:val="24"/>
        </w:rPr>
        <w:t>、宝钢股份有限公司、武钢有限公司、马鞍山钢铁股份有限公司、首钢智新迁安电磁材料有限公司、山西太钢不锈钢股份有限公司、鞍钢股份有限公司、上海振泰新材料发展集团有限公司、</w:t>
      </w:r>
      <w:r>
        <w:rPr>
          <w:rFonts w:ascii="宋体" w:hAnsi="宋体" w:cs="宋体"/>
          <w:color w:val="000000"/>
          <w:sz w:val="24"/>
        </w:rPr>
        <w:t>山西赛科德科技有限公司</w:t>
      </w:r>
      <w:r>
        <w:rPr>
          <w:rFonts w:hint="eastAsia"/>
          <w:color w:val="000000"/>
          <w:sz w:val="24"/>
        </w:rPr>
        <w:t>、南京博塽工贸发展有限公司、中国东方电气集团、安徽皖南电机股份有限公司参与起草及修订。</w:t>
      </w:r>
    </w:p>
    <w:p w:rsidR="00A03176" w:rsidRDefault="001A6DEC">
      <w:pPr>
        <w:widowControl/>
        <w:snapToGrid w:val="0"/>
        <w:spacing w:line="360" w:lineRule="auto"/>
        <w:ind w:firstLineChars="200" w:firstLine="480"/>
        <w:textAlignment w:val="baseline"/>
        <w:rPr>
          <w:color w:val="000000"/>
          <w:sz w:val="24"/>
        </w:rPr>
      </w:pPr>
      <w:r>
        <w:rPr>
          <w:rFonts w:hint="eastAsia"/>
          <w:color w:val="000000"/>
          <w:sz w:val="24"/>
        </w:rPr>
        <w:t>主要成员：</w:t>
      </w:r>
      <w:r>
        <w:rPr>
          <w:rFonts w:hint="eastAsia"/>
          <w:color w:val="000000"/>
          <w:sz w:val="24"/>
        </w:rPr>
        <w:t>李超、程杨、夏汉中、刘焕根、宋羽、姜福建、陈晓、万政武、裴英豪、肖海航、安冬洋、光红兵、马欢吉、王记才、张敦明、孙跃、张晃清、孙竹</w:t>
      </w:r>
    </w:p>
    <w:p w:rsidR="00A03176" w:rsidRDefault="001A6DEC">
      <w:pPr>
        <w:widowControl/>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主要工作：</w:t>
      </w:r>
    </w:p>
    <w:p w:rsidR="00A03176" w:rsidRDefault="001A6DEC">
      <w:pPr>
        <w:widowControl/>
        <w:numPr>
          <w:ilvl w:val="0"/>
          <w:numId w:val="3"/>
        </w:numPr>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在国家环保政策的指导下，以武汉钢实钢福材新型产品科技有限公司和扬州汇菁工贸有限公司为主的项目组，于</w:t>
      </w:r>
      <w:r>
        <w:rPr>
          <w:rStyle w:val="NormalCharacter"/>
          <w:rFonts w:ascii="宋体" w:hAnsi="宋体" w:cs="宋体" w:hint="eastAsia"/>
          <w:bCs/>
          <w:sz w:val="24"/>
        </w:rPr>
        <w:t>2019</w:t>
      </w:r>
      <w:r>
        <w:rPr>
          <w:rStyle w:val="NormalCharacter"/>
          <w:rFonts w:ascii="宋体" w:hAnsi="宋体" w:cs="宋体" w:hint="eastAsia"/>
          <w:bCs/>
          <w:sz w:val="24"/>
        </w:rPr>
        <w:t>年</w:t>
      </w:r>
      <w:r>
        <w:rPr>
          <w:rStyle w:val="NormalCharacter"/>
          <w:rFonts w:ascii="宋体" w:hAnsi="宋体" w:cs="宋体" w:hint="eastAsia"/>
          <w:bCs/>
          <w:sz w:val="24"/>
        </w:rPr>
        <w:t>3</w:t>
      </w:r>
      <w:r>
        <w:rPr>
          <w:rStyle w:val="NormalCharacter"/>
          <w:rFonts w:ascii="宋体" w:hAnsi="宋体" w:cs="宋体" w:hint="eastAsia"/>
          <w:bCs/>
          <w:sz w:val="24"/>
        </w:rPr>
        <w:t>月在武汉召开了第一次会议，研究了电工钢环保涂层的重要性和必要性，并指定武汉钢实钢福材新型产品科技有限公司执笔起草；</w:t>
      </w:r>
    </w:p>
    <w:p w:rsidR="00A03176" w:rsidRDefault="001A6DEC">
      <w:pPr>
        <w:widowControl/>
        <w:numPr>
          <w:ilvl w:val="0"/>
          <w:numId w:val="3"/>
        </w:numPr>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2020</w:t>
      </w:r>
      <w:r>
        <w:rPr>
          <w:rStyle w:val="NormalCharacter"/>
          <w:rFonts w:ascii="宋体" w:hAnsi="宋体" w:cs="宋体" w:hint="eastAsia"/>
          <w:bCs/>
          <w:sz w:val="24"/>
        </w:rPr>
        <w:t>年</w:t>
      </w:r>
      <w:r>
        <w:rPr>
          <w:rStyle w:val="NormalCharacter"/>
          <w:rFonts w:ascii="宋体" w:hAnsi="宋体" w:cs="宋体" w:hint="eastAsia"/>
          <w:bCs/>
          <w:sz w:val="24"/>
        </w:rPr>
        <w:t>1</w:t>
      </w:r>
      <w:r>
        <w:rPr>
          <w:rStyle w:val="NormalCharacter"/>
          <w:rFonts w:ascii="宋体" w:hAnsi="宋体" w:cs="宋体" w:hint="eastAsia"/>
          <w:bCs/>
          <w:sz w:val="24"/>
        </w:rPr>
        <w:t>月正式确定“无取向电工钢环保型绝缘涂层团体标准</w:t>
      </w:r>
      <w:r>
        <w:rPr>
          <w:rStyle w:val="NormalCharacter"/>
          <w:rFonts w:ascii="宋体" w:hAnsi="宋体" w:cs="宋体" w:hint="eastAsia"/>
          <w:bCs/>
          <w:sz w:val="24"/>
        </w:rPr>
        <w:t>”</w:t>
      </w:r>
      <w:r>
        <w:rPr>
          <w:rStyle w:val="NormalCharacter"/>
          <w:rFonts w:ascii="宋体" w:hAnsi="宋体" w:cs="宋体" w:hint="eastAsia"/>
          <w:bCs/>
          <w:sz w:val="24"/>
        </w:rPr>
        <w:t>框架及内容，武汉钢实钢福材新型产品科技有限公司、扬州汇菁工贸有限公司等相关单位参与</w:t>
      </w:r>
      <w:r>
        <w:rPr>
          <w:rStyle w:val="NormalCharacter"/>
          <w:rFonts w:ascii="宋体" w:hAnsi="宋体" w:cs="宋体" w:hint="eastAsia"/>
          <w:bCs/>
          <w:sz w:val="24"/>
        </w:rPr>
        <w:t>了框架内容的讨论，并形成具体模板；</w:t>
      </w:r>
    </w:p>
    <w:p w:rsidR="00A03176" w:rsidRDefault="001A6DEC">
      <w:pPr>
        <w:widowControl/>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3</w:t>
      </w:r>
      <w:r>
        <w:rPr>
          <w:rStyle w:val="NormalCharacter"/>
          <w:rFonts w:ascii="宋体" w:hAnsi="宋体" w:cs="宋体" w:hint="eastAsia"/>
          <w:bCs/>
          <w:sz w:val="24"/>
        </w:rPr>
        <w:t>）</w:t>
      </w:r>
      <w:r>
        <w:rPr>
          <w:rStyle w:val="NormalCharacter"/>
          <w:rFonts w:ascii="宋体" w:hAnsi="宋体" w:cs="宋体" w:hint="eastAsia"/>
          <w:bCs/>
          <w:sz w:val="24"/>
        </w:rPr>
        <w:t>2020</w:t>
      </w:r>
      <w:r>
        <w:rPr>
          <w:rStyle w:val="NormalCharacter"/>
          <w:rFonts w:ascii="宋体" w:hAnsi="宋体" w:cs="宋体" w:hint="eastAsia"/>
          <w:bCs/>
          <w:sz w:val="24"/>
        </w:rPr>
        <w:t>年</w:t>
      </w:r>
      <w:r>
        <w:rPr>
          <w:rStyle w:val="NormalCharacter"/>
          <w:rFonts w:ascii="宋体" w:hAnsi="宋体" w:cs="宋体" w:hint="eastAsia"/>
          <w:bCs/>
          <w:sz w:val="24"/>
        </w:rPr>
        <w:t>5</w:t>
      </w:r>
      <w:r>
        <w:rPr>
          <w:rStyle w:val="NormalCharacter"/>
          <w:rFonts w:ascii="宋体" w:hAnsi="宋体" w:cs="宋体" w:hint="eastAsia"/>
          <w:bCs/>
          <w:sz w:val="24"/>
        </w:rPr>
        <w:t>月受疫情影响，项目</w:t>
      </w:r>
      <w:r>
        <w:rPr>
          <w:rStyle w:val="NormalCharacter"/>
          <w:rFonts w:ascii="宋体" w:hAnsi="宋体" w:cs="宋体" w:hint="eastAsia"/>
          <w:bCs/>
          <w:sz w:val="24"/>
        </w:rPr>
        <w:t>组</w:t>
      </w:r>
      <w:r>
        <w:rPr>
          <w:rStyle w:val="NormalCharacter"/>
          <w:rFonts w:ascii="宋体" w:hAnsi="宋体" w:cs="宋体" w:hint="eastAsia"/>
          <w:bCs/>
          <w:sz w:val="24"/>
        </w:rPr>
        <w:t>召开了网络视频会议，</w:t>
      </w:r>
      <w:r>
        <w:rPr>
          <w:rStyle w:val="NormalCharacter"/>
          <w:rFonts w:ascii="宋体" w:hAnsi="宋体" w:cs="宋体" w:hint="eastAsia"/>
          <w:bCs/>
          <w:sz w:val="24"/>
        </w:rPr>
        <w:t>对</w:t>
      </w:r>
      <w:r>
        <w:rPr>
          <w:rStyle w:val="NormalCharacter"/>
          <w:rFonts w:ascii="宋体" w:hAnsi="宋体" w:cs="宋体" w:hint="eastAsia"/>
          <w:bCs/>
          <w:sz w:val="24"/>
        </w:rPr>
        <w:t>标准初稿</w:t>
      </w:r>
      <w:r>
        <w:rPr>
          <w:rStyle w:val="NormalCharacter"/>
          <w:rFonts w:ascii="宋体" w:hAnsi="宋体" w:cs="宋体" w:hint="eastAsia"/>
          <w:bCs/>
          <w:sz w:val="24"/>
        </w:rPr>
        <w:t>内容及行文</w:t>
      </w:r>
      <w:r>
        <w:rPr>
          <w:rStyle w:val="NormalCharacter"/>
          <w:rFonts w:ascii="宋体" w:hAnsi="宋体" w:cs="宋体" w:hint="eastAsia"/>
          <w:bCs/>
          <w:sz w:val="24"/>
        </w:rPr>
        <w:t>进行讨论和修改</w:t>
      </w:r>
      <w:r>
        <w:rPr>
          <w:rStyle w:val="NormalCharacter"/>
          <w:rFonts w:ascii="宋体" w:hAnsi="宋体" w:cs="宋体" w:hint="eastAsia"/>
          <w:bCs/>
          <w:sz w:val="24"/>
        </w:rPr>
        <w:t>；</w:t>
      </w:r>
    </w:p>
    <w:p w:rsidR="00A03176" w:rsidRDefault="001A6DEC">
      <w:pPr>
        <w:widowControl/>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4</w:t>
      </w:r>
      <w:r>
        <w:rPr>
          <w:rStyle w:val="NormalCharacter"/>
          <w:rFonts w:ascii="宋体" w:hAnsi="宋体" w:cs="宋体" w:hint="eastAsia"/>
          <w:bCs/>
          <w:sz w:val="24"/>
        </w:rPr>
        <w:t>）</w:t>
      </w:r>
      <w:r>
        <w:rPr>
          <w:rStyle w:val="NormalCharacter"/>
          <w:rFonts w:ascii="宋体" w:hAnsi="宋体" w:cs="宋体" w:hint="eastAsia"/>
          <w:bCs/>
          <w:sz w:val="24"/>
        </w:rPr>
        <w:t>2020</w:t>
      </w:r>
      <w:r>
        <w:rPr>
          <w:rStyle w:val="NormalCharacter"/>
          <w:rFonts w:ascii="宋体" w:hAnsi="宋体" w:cs="宋体" w:hint="eastAsia"/>
          <w:bCs/>
          <w:sz w:val="24"/>
        </w:rPr>
        <w:t>年</w:t>
      </w:r>
      <w:r>
        <w:rPr>
          <w:rStyle w:val="NormalCharacter"/>
          <w:rFonts w:ascii="宋体" w:hAnsi="宋体" w:cs="宋体" w:hint="eastAsia"/>
          <w:bCs/>
          <w:sz w:val="24"/>
        </w:rPr>
        <w:t>8</w:t>
      </w:r>
      <w:r>
        <w:rPr>
          <w:rStyle w:val="NormalCharacter"/>
          <w:rFonts w:ascii="宋体" w:hAnsi="宋体" w:cs="宋体" w:hint="eastAsia"/>
          <w:bCs/>
          <w:sz w:val="24"/>
        </w:rPr>
        <w:t>月</w:t>
      </w:r>
      <w:r>
        <w:rPr>
          <w:rStyle w:val="NormalCharacter"/>
          <w:rFonts w:ascii="宋体" w:hAnsi="宋体" w:cs="宋体" w:hint="eastAsia"/>
          <w:bCs/>
          <w:sz w:val="24"/>
        </w:rPr>
        <w:t>17</w:t>
      </w:r>
      <w:r>
        <w:rPr>
          <w:rStyle w:val="NormalCharacter"/>
          <w:rFonts w:ascii="宋体" w:hAnsi="宋体" w:cs="宋体" w:hint="eastAsia"/>
          <w:bCs/>
          <w:sz w:val="24"/>
        </w:rPr>
        <w:t>日项目组在无锡江阴市组织召开了“无取向电工钢环保型绝缘涂层团体标准”第一稿讨论会，</w:t>
      </w:r>
      <w:r>
        <w:rPr>
          <w:rStyle w:val="NormalCharacter"/>
          <w:rFonts w:ascii="宋体" w:hAnsi="宋体" w:cs="宋体" w:hint="eastAsia"/>
          <w:bCs/>
          <w:sz w:val="24"/>
        </w:rPr>
        <w:t>会议</w:t>
      </w:r>
      <w:r>
        <w:rPr>
          <w:rStyle w:val="NormalCharacter"/>
          <w:rFonts w:ascii="宋体" w:hAnsi="宋体" w:cs="宋体" w:hint="eastAsia"/>
          <w:bCs/>
          <w:sz w:val="24"/>
        </w:rPr>
        <w:t>对</w:t>
      </w:r>
      <w:r>
        <w:rPr>
          <w:rStyle w:val="NormalCharacter"/>
          <w:rFonts w:ascii="宋体" w:hAnsi="宋体" w:cs="宋体" w:hint="eastAsia"/>
          <w:bCs/>
          <w:sz w:val="24"/>
        </w:rPr>
        <w:t>标准第一稿</w:t>
      </w:r>
      <w:r>
        <w:rPr>
          <w:rStyle w:val="NormalCharacter"/>
          <w:rFonts w:ascii="宋体" w:hAnsi="宋体" w:cs="宋体" w:hint="eastAsia"/>
          <w:bCs/>
          <w:sz w:val="24"/>
        </w:rPr>
        <w:t>进行了讨论并形成了标准草案，初步给出了无取向电工钢环保型绝缘涂层的范围、引用文件、术语和定义、技术要求、试验方法、检验规则、检测方法以及评价方法。</w:t>
      </w:r>
    </w:p>
    <w:p w:rsidR="00A03176" w:rsidRDefault="001A6DEC">
      <w:pPr>
        <w:widowControl/>
        <w:snapToGrid w:val="0"/>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5)</w:t>
      </w:r>
      <w:r>
        <w:rPr>
          <w:rStyle w:val="NormalCharacter"/>
          <w:rFonts w:ascii="宋体" w:hAnsi="宋体" w:cs="宋体" w:hint="eastAsia"/>
          <w:bCs/>
          <w:sz w:val="24"/>
        </w:rPr>
        <w:t>下一步更广泛地征求上下游企业意见。</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二、标准的制定原则</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本标准在制定过程中，遵循“面向市场、服务产业、自主制定、适时推出、及时修订、不断完善”的原则，注重标准修订与技术创新、试验验证、产业推进、应用推广相结合，本着先进性、科学性、合理性和可操作性以及标准的目标、统</w:t>
      </w:r>
      <w:r>
        <w:rPr>
          <w:rStyle w:val="NormalCharacter"/>
          <w:rFonts w:ascii="宋体" w:hAnsi="宋体" w:cs="宋体" w:hint="eastAsia"/>
          <w:bCs/>
          <w:sz w:val="24"/>
        </w:rPr>
        <w:lastRenderedPageBreak/>
        <w:t>一性、协调性、适用性、一致性和规范性的原则来进行本标准的制定工作。</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本标准在起草过程中，主要按</w:t>
      </w:r>
      <w:r>
        <w:rPr>
          <w:rStyle w:val="NormalCharacter"/>
          <w:rFonts w:ascii="宋体" w:hAnsi="宋体" w:cs="宋体" w:hint="eastAsia"/>
          <w:bCs/>
          <w:sz w:val="24"/>
        </w:rPr>
        <w:t>GB/T 1. 1-2009</w:t>
      </w:r>
      <w:r>
        <w:rPr>
          <w:rStyle w:val="NormalCharacter"/>
          <w:rFonts w:ascii="宋体" w:hAnsi="宋体" w:cs="宋体" w:hint="eastAsia"/>
          <w:bCs/>
          <w:sz w:val="24"/>
        </w:rPr>
        <w:t>《标准化工作导则第</w:t>
      </w:r>
      <w:r>
        <w:rPr>
          <w:rStyle w:val="NormalCharacter"/>
          <w:rFonts w:ascii="宋体" w:hAnsi="宋体" w:cs="宋体" w:hint="eastAsia"/>
          <w:bCs/>
          <w:sz w:val="24"/>
        </w:rPr>
        <w:t>1</w:t>
      </w:r>
      <w:r>
        <w:rPr>
          <w:rStyle w:val="NormalCharacter"/>
          <w:rFonts w:ascii="宋体" w:hAnsi="宋体" w:cs="宋体" w:hint="eastAsia"/>
          <w:bCs/>
          <w:sz w:val="24"/>
        </w:rPr>
        <w:t>部分</w:t>
      </w:r>
      <w:r>
        <w:rPr>
          <w:rStyle w:val="NormalCharacter"/>
          <w:rFonts w:ascii="宋体" w:hAnsi="宋体" w:cs="宋体" w:hint="eastAsia"/>
          <w:bCs/>
          <w:sz w:val="24"/>
        </w:rPr>
        <w:t>:</w:t>
      </w:r>
      <w:r>
        <w:rPr>
          <w:rStyle w:val="NormalCharacter"/>
          <w:rFonts w:ascii="宋体" w:hAnsi="宋体" w:cs="宋体" w:hint="eastAsia"/>
          <w:bCs/>
          <w:sz w:val="24"/>
        </w:rPr>
        <w:t>标准的结构和编写规则》和</w:t>
      </w:r>
      <w:r>
        <w:rPr>
          <w:rStyle w:val="NormalCharacter"/>
          <w:rFonts w:ascii="宋体" w:hAnsi="宋体" w:cs="宋体" w:hint="eastAsia"/>
          <w:bCs/>
          <w:sz w:val="24"/>
        </w:rPr>
        <w:t>GB/T20000.2</w:t>
      </w:r>
      <w:r>
        <w:rPr>
          <w:rStyle w:val="NormalCharacter"/>
          <w:rFonts w:ascii="宋体" w:hAnsi="宋体" w:cs="宋体" w:hint="eastAsia"/>
          <w:bCs/>
          <w:sz w:val="24"/>
        </w:rPr>
        <w:t>—</w:t>
      </w:r>
      <w:r>
        <w:rPr>
          <w:rStyle w:val="NormalCharacter"/>
          <w:rFonts w:ascii="宋体" w:hAnsi="宋体" w:cs="宋体" w:hint="eastAsia"/>
          <w:bCs/>
          <w:sz w:val="24"/>
        </w:rPr>
        <w:t>2009</w:t>
      </w:r>
      <w:r>
        <w:rPr>
          <w:rStyle w:val="NormalCharacter"/>
          <w:rFonts w:ascii="宋体" w:hAnsi="宋体" w:cs="宋体" w:hint="eastAsia"/>
          <w:bCs/>
          <w:sz w:val="24"/>
        </w:rPr>
        <w:t>《标准化工作指南</w:t>
      </w:r>
      <w:r>
        <w:rPr>
          <w:rStyle w:val="NormalCharacter"/>
          <w:rFonts w:ascii="宋体" w:hAnsi="宋体" w:cs="宋体" w:hint="eastAsia"/>
          <w:bCs/>
          <w:sz w:val="24"/>
        </w:rPr>
        <w:t xml:space="preserve">  </w:t>
      </w:r>
      <w:r>
        <w:rPr>
          <w:rStyle w:val="NormalCharacter"/>
          <w:rFonts w:ascii="宋体" w:hAnsi="宋体" w:cs="宋体" w:hint="eastAsia"/>
          <w:bCs/>
          <w:sz w:val="24"/>
        </w:rPr>
        <w:t>第</w:t>
      </w:r>
      <w:r>
        <w:rPr>
          <w:rStyle w:val="NormalCharacter"/>
          <w:rFonts w:ascii="宋体" w:hAnsi="宋体" w:cs="宋体" w:hint="eastAsia"/>
          <w:bCs/>
          <w:sz w:val="24"/>
        </w:rPr>
        <w:t>2</w:t>
      </w:r>
      <w:r>
        <w:rPr>
          <w:rStyle w:val="NormalCharacter"/>
          <w:rFonts w:ascii="宋体" w:hAnsi="宋体" w:cs="宋体" w:hint="eastAsia"/>
          <w:bCs/>
          <w:sz w:val="24"/>
        </w:rPr>
        <w:t>部分：采用国际标准》的要求编写。在确定本标准主要技术指标时，综合考虑生产企业</w:t>
      </w:r>
      <w:r>
        <w:rPr>
          <w:rStyle w:val="NormalCharacter"/>
          <w:rFonts w:ascii="宋体" w:hAnsi="宋体" w:cs="宋体" w:hint="eastAsia"/>
          <w:bCs/>
          <w:sz w:val="24"/>
        </w:rPr>
        <w:t>的能力和用户的利益，寻求最大的经济、社会效益，充分体现了标准在技术上的先进性和合理性。</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三、主要技术内容说明</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1</w:t>
      </w:r>
      <w:r>
        <w:rPr>
          <w:rStyle w:val="NormalCharacter"/>
          <w:rFonts w:ascii="宋体" w:hAnsi="宋体" w:cs="宋体" w:hint="eastAsia"/>
          <w:bCs/>
          <w:sz w:val="24"/>
        </w:rPr>
        <w:t>、</w:t>
      </w:r>
      <w:r>
        <w:rPr>
          <w:rStyle w:val="NormalCharacter"/>
          <w:rFonts w:ascii="宋体" w:hAnsi="宋体" w:cs="宋体" w:hint="eastAsia"/>
          <w:bCs/>
          <w:sz w:val="24"/>
        </w:rPr>
        <w:t>标准名称</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标准名称为“无取向电工钢环保型绝缘涂层”，强调了材料本身的特性，强调的是产品的用途。</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2</w:t>
      </w:r>
      <w:r>
        <w:rPr>
          <w:rStyle w:val="NormalCharacter"/>
          <w:rFonts w:ascii="宋体" w:hAnsi="宋体" w:cs="宋体" w:hint="eastAsia"/>
          <w:bCs/>
          <w:sz w:val="24"/>
        </w:rPr>
        <w:t>、</w:t>
      </w:r>
      <w:r>
        <w:rPr>
          <w:rStyle w:val="NormalCharacter"/>
          <w:rFonts w:ascii="宋体" w:hAnsi="宋体" w:cs="宋体" w:hint="eastAsia"/>
          <w:bCs/>
          <w:sz w:val="24"/>
        </w:rPr>
        <w:t>范围</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本标准规定了无取向电工钢环保型绝缘涂层产品的技术要求、试验方法、检验规则、标志</w:t>
      </w:r>
      <w:r>
        <w:rPr>
          <w:rStyle w:val="NormalCharacter"/>
          <w:rFonts w:hAnsi="宋体" w:cs="宋体"/>
          <w:bCs/>
          <w:sz w:val="24"/>
        </w:rPr>
        <w:t>。</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本标准适用于通过无机组</w:t>
      </w:r>
      <w:r>
        <w:rPr>
          <w:rStyle w:val="NormalCharacter"/>
          <w:rFonts w:ascii="宋体" w:hAnsi="宋体" w:cs="宋体" w:hint="eastAsia"/>
          <w:bCs/>
          <w:sz w:val="24"/>
        </w:rPr>
        <w:t>份</w:t>
      </w:r>
      <w:r>
        <w:rPr>
          <w:rStyle w:val="NormalCharacter"/>
          <w:rFonts w:ascii="宋体" w:hAnsi="宋体" w:cs="宋体" w:hint="eastAsia"/>
          <w:bCs/>
          <w:sz w:val="24"/>
        </w:rPr>
        <w:t>、有机组</w:t>
      </w:r>
      <w:r>
        <w:rPr>
          <w:rStyle w:val="NormalCharacter"/>
          <w:rFonts w:ascii="宋体" w:hAnsi="宋体" w:cs="宋体" w:hint="eastAsia"/>
          <w:bCs/>
          <w:sz w:val="24"/>
        </w:rPr>
        <w:t>份</w:t>
      </w:r>
      <w:r>
        <w:rPr>
          <w:rStyle w:val="NormalCharacter"/>
          <w:rFonts w:hAnsi="宋体" w:cs="宋体"/>
          <w:bCs/>
          <w:sz w:val="24"/>
        </w:rPr>
        <w:t>和有机无机复合组</w:t>
      </w:r>
      <w:r>
        <w:rPr>
          <w:rStyle w:val="NormalCharacter"/>
          <w:rFonts w:ascii="宋体" w:hAnsi="宋体" w:cs="宋体" w:hint="eastAsia"/>
          <w:bCs/>
          <w:sz w:val="24"/>
        </w:rPr>
        <w:t>份</w:t>
      </w:r>
      <w:r>
        <w:rPr>
          <w:rStyle w:val="NormalCharacter"/>
          <w:rFonts w:hAnsi="宋体" w:cs="宋体"/>
          <w:bCs/>
          <w:sz w:val="24"/>
        </w:rPr>
        <w:t>，</w:t>
      </w:r>
      <w:r>
        <w:rPr>
          <w:rStyle w:val="NormalCharacter"/>
          <w:rFonts w:ascii="宋体" w:hAnsi="宋体" w:cs="宋体" w:hint="eastAsia"/>
          <w:bCs/>
          <w:sz w:val="24"/>
        </w:rPr>
        <w:t>涂覆于冷轧无取向电工钢带（片）表面所形成的绝缘涂层。</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3</w:t>
      </w:r>
      <w:r>
        <w:rPr>
          <w:rStyle w:val="NormalCharacter"/>
          <w:rFonts w:ascii="宋体" w:hAnsi="宋体" w:cs="宋体" w:hint="eastAsia"/>
          <w:bCs/>
          <w:sz w:val="24"/>
        </w:rPr>
        <w:t>、</w:t>
      </w:r>
      <w:r>
        <w:rPr>
          <w:rStyle w:val="NormalCharacter"/>
          <w:rFonts w:ascii="宋体" w:hAnsi="宋体" w:cs="宋体" w:hint="eastAsia"/>
          <w:bCs/>
          <w:sz w:val="24"/>
        </w:rPr>
        <w:t>规范性引用文件</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根据</w:t>
      </w:r>
      <w:r>
        <w:rPr>
          <w:rStyle w:val="NormalCharacter"/>
          <w:rFonts w:ascii="宋体" w:hAnsi="宋体" w:cs="宋体" w:hint="eastAsia"/>
          <w:bCs/>
          <w:sz w:val="24"/>
        </w:rPr>
        <w:t xml:space="preserve">GB/T </w:t>
      </w:r>
      <w:r>
        <w:rPr>
          <w:rStyle w:val="NormalCharacter"/>
          <w:rFonts w:ascii="宋体" w:hAnsi="宋体" w:cs="宋体" w:hint="eastAsia"/>
          <w:bCs/>
          <w:sz w:val="24"/>
        </w:rPr>
        <w:t>20000.2-2001</w:t>
      </w:r>
      <w:r>
        <w:rPr>
          <w:rStyle w:val="NormalCharacter"/>
          <w:rFonts w:ascii="宋体" w:hAnsi="宋体" w:cs="宋体" w:hint="eastAsia"/>
          <w:bCs/>
          <w:sz w:val="24"/>
        </w:rPr>
        <w:t>采用国际标准的规则，引用了有相关关系的国家标准</w:t>
      </w:r>
      <w:r>
        <w:rPr>
          <w:rStyle w:val="NormalCharacter"/>
          <w:rFonts w:ascii="宋体" w:hAnsi="宋体" w:cs="宋体" w:hint="eastAsia"/>
          <w:bCs/>
          <w:sz w:val="24"/>
        </w:rPr>
        <w:t>和行业标准</w:t>
      </w:r>
      <w:r>
        <w:rPr>
          <w:rStyle w:val="NormalCharacter"/>
          <w:rFonts w:ascii="宋体" w:hAnsi="宋体" w:cs="宋体" w:hint="eastAsia"/>
          <w:bCs/>
          <w:sz w:val="24"/>
        </w:rPr>
        <w:t>个。</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4</w:t>
      </w:r>
      <w:r>
        <w:rPr>
          <w:rStyle w:val="NormalCharacter"/>
          <w:rFonts w:ascii="宋体" w:hAnsi="宋体" w:cs="宋体" w:hint="eastAsia"/>
          <w:bCs/>
          <w:sz w:val="24"/>
        </w:rPr>
        <w:t>、</w:t>
      </w:r>
      <w:r>
        <w:rPr>
          <w:rStyle w:val="NormalCharacter"/>
          <w:rFonts w:ascii="宋体" w:hAnsi="宋体" w:cs="宋体" w:hint="eastAsia"/>
          <w:bCs/>
          <w:sz w:val="24"/>
        </w:rPr>
        <w:t>术语、定义和符号</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采用现有国家标准中规定的术语和定义</w:t>
      </w:r>
      <w:r>
        <w:rPr>
          <w:rStyle w:val="NormalCharacter"/>
          <w:rFonts w:ascii="宋体" w:hAnsi="宋体" w:cs="宋体" w:hint="eastAsia"/>
          <w:bCs/>
          <w:sz w:val="24"/>
        </w:rPr>
        <w:t>，</w:t>
      </w:r>
      <w:r>
        <w:rPr>
          <w:rStyle w:val="NormalCharacter"/>
          <w:rFonts w:ascii="宋体" w:hAnsi="宋体" w:cs="宋体" w:hint="eastAsia"/>
          <w:bCs/>
          <w:sz w:val="24"/>
        </w:rPr>
        <w:t>并在标准</w:t>
      </w:r>
      <w:r>
        <w:rPr>
          <w:rStyle w:val="NormalCharacter"/>
          <w:rFonts w:ascii="宋体" w:hAnsi="宋体" w:cs="宋体" w:hint="eastAsia"/>
          <w:bCs/>
          <w:sz w:val="24"/>
        </w:rPr>
        <w:t>中</w:t>
      </w:r>
      <w:r>
        <w:rPr>
          <w:rStyle w:val="NormalCharacter"/>
          <w:rFonts w:ascii="宋体" w:hAnsi="宋体" w:cs="宋体" w:hint="eastAsia"/>
          <w:bCs/>
          <w:sz w:val="24"/>
        </w:rPr>
        <w:t>“环保型绝缘涂层”</w:t>
      </w:r>
      <w:r>
        <w:rPr>
          <w:rStyle w:val="NormalCharacter"/>
          <w:rFonts w:ascii="宋体" w:hAnsi="宋体" w:cs="宋体" w:hint="eastAsia"/>
          <w:bCs/>
          <w:sz w:val="24"/>
        </w:rPr>
        <w:t>术语进行界定。</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5</w:t>
      </w:r>
      <w:r>
        <w:rPr>
          <w:rStyle w:val="NormalCharacter"/>
          <w:rFonts w:ascii="宋体" w:hAnsi="宋体" w:cs="宋体" w:hint="eastAsia"/>
          <w:bCs/>
          <w:sz w:val="24"/>
        </w:rPr>
        <w:t>、基本技术要求</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1</w:t>
      </w:r>
      <w:r>
        <w:rPr>
          <w:rStyle w:val="NormalCharacter"/>
          <w:rFonts w:ascii="宋体" w:hAnsi="宋体" w:cs="宋体" w:hint="eastAsia"/>
          <w:bCs/>
          <w:sz w:val="24"/>
        </w:rPr>
        <w:t>）生产企业应按照</w:t>
      </w:r>
      <w:r>
        <w:rPr>
          <w:rStyle w:val="NormalCharacter"/>
          <w:rFonts w:ascii="宋体" w:hAnsi="宋体" w:cs="宋体" w:hint="eastAsia"/>
          <w:bCs/>
          <w:sz w:val="24"/>
        </w:rPr>
        <w:t>GB/T 19001</w:t>
      </w:r>
      <w:r>
        <w:rPr>
          <w:rStyle w:val="NormalCharacter"/>
          <w:rFonts w:ascii="宋体" w:hAnsi="宋体" w:cs="宋体" w:hint="eastAsia"/>
          <w:bCs/>
          <w:sz w:val="24"/>
        </w:rPr>
        <w:t>和</w:t>
      </w:r>
      <w:r>
        <w:rPr>
          <w:rStyle w:val="NormalCharacter"/>
          <w:rFonts w:ascii="宋体" w:hAnsi="宋体" w:cs="宋体" w:hint="eastAsia"/>
          <w:bCs/>
          <w:sz w:val="24"/>
        </w:rPr>
        <w:t>GB/T 24001</w:t>
      </w:r>
      <w:r>
        <w:rPr>
          <w:rStyle w:val="NormalCharacter"/>
          <w:rFonts w:ascii="宋体" w:hAnsi="宋体" w:cs="宋体" w:hint="eastAsia"/>
          <w:bCs/>
          <w:sz w:val="24"/>
        </w:rPr>
        <w:t>分别建立、实施、保持并持续改进质量管理和环境管理等体系。</w:t>
      </w:r>
    </w:p>
    <w:p w:rsidR="00A03176" w:rsidRDefault="001A6DEC">
      <w:pPr>
        <w:spacing w:line="360" w:lineRule="auto"/>
        <w:ind w:firstLineChars="200" w:firstLine="480"/>
        <w:textAlignment w:val="baseline"/>
        <w:rPr>
          <w:rStyle w:val="NormalCharacter"/>
          <w:rFonts w:ascii="宋体" w:hAnsi="宋体" w:cs="宋体"/>
          <w:bCs/>
          <w:strike/>
          <w:color w:val="FF0000"/>
          <w:sz w:val="24"/>
        </w:rPr>
      </w:pPr>
      <w:r>
        <w:rPr>
          <w:rStyle w:val="NormalCharacter"/>
          <w:rFonts w:ascii="宋体" w:hAnsi="宋体" w:cs="宋体" w:hint="eastAsia"/>
          <w:bCs/>
          <w:color w:val="000000" w:themeColor="text1"/>
          <w:sz w:val="24"/>
        </w:rPr>
        <w:t>2</w:t>
      </w:r>
      <w:r>
        <w:rPr>
          <w:rStyle w:val="NormalCharacter"/>
          <w:rFonts w:ascii="宋体" w:hAnsi="宋体" w:cs="宋体" w:hint="eastAsia"/>
          <w:bCs/>
          <w:color w:val="000000" w:themeColor="text1"/>
          <w:sz w:val="24"/>
        </w:rPr>
        <w:t>）</w:t>
      </w:r>
      <w:r>
        <w:rPr>
          <w:rFonts w:hint="eastAsia"/>
          <w:color w:val="000000" w:themeColor="text1"/>
          <w:sz w:val="24"/>
        </w:rPr>
        <w:t>生产企业的生产全过程及废液、固废、废气处理、贮存场所等，应当符合相应的环境保护法律和法规的要求，并持续降低三废的产生量，致力实现再生利用。</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3</w:t>
      </w:r>
      <w:r>
        <w:rPr>
          <w:rStyle w:val="NormalCharacter"/>
          <w:rFonts w:ascii="宋体" w:hAnsi="宋体" w:cs="宋体" w:hint="eastAsia"/>
          <w:bCs/>
          <w:sz w:val="24"/>
        </w:rPr>
        <w:t>）环保型绝缘涂层的产品，宜按照全生命周期的理念，进行绿色设计。</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6</w:t>
      </w:r>
      <w:r>
        <w:rPr>
          <w:rStyle w:val="NormalCharacter"/>
          <w:rFonts w:ascii="宋体" w:hAnsi="宋体" w:cs="宋体" w:hint="eastAsia"/>
          <w:bCs/>
          <w:sz w:val="24"/>
        </w:rPr>
        <w:t>、</w:t>
      </w:r>
      <w:r>
        <w:rPr>
          <w:rStyle w:val="NormalCharacter"/>
          <w:rFonts w:ascii="宋体" w:hAnsi="宋体" w:cs="宋体" w:hint="eastAsia"/>
          <w:bCs/>
          <w:sz w:val="24"/>
        </w:rPr>
        <w:t>技术要求</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lastRenderedPageBreak/>
        <w:t>1</w:t>
      </w:r>
      <w:r>
        <w:rPr>
          <w:rStyle w:val="NormalCharacter"/>
          <w:rFonts w:ascii="宋体" w:hAnsi="宋体" w:cs="宋体" w:hint="eastAsia"/>
          <w:bCs/>
          <w:sz w:val="24"/>
        </w:rPr>
        <w:t>）成份</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本标准不对涂料的具体成份作任何限制。</w:t>
      </w:r>
    </w:p>
    <w:p w:rsidR="00A03176" w:rsidRDefault="001A6DEC">
      <w:pPr>
        <w:spacing w:line="360" w:lineRule="auto"/>
        <w:textAlignment w:val="baseline"/>
        <w:rPr>
          <w:rStyle w:val="NormalCharacter"/>
          <w:rFonts w:ascii="宋体" w:hAnsi="宋体" w:cs="宋体"/>
          <w:bCs/>
          <w:sz w:val="24"/>
        </w:rPr>
      </w:pPr>
      <w:bookmarkStart w:id="1" w:name="OLE_LINK125"/>
      <w:r>
        <w:rPr>
          <w:rStyle w:val="NormalCharacter"/>
          <w:rFonts w:ascii="宋体" w:hAnsi="宋体" w:cs="宋体" w:hint="eastAsia"/>
          <w:bCs/>
          <w:sz w:val="24"/>
        </w:rPr>
        <w:t>2</w:t>
      </w:r>
      <w:r>
        <w:rPr>
          <w:rStyle w:val="NormalCharacter"/>
          <w:rFonts w:ascii="宋体" w:hAnsi="宋体" w:cs="宋体" w:hint="eastAsia"/>
          <w:bCs/>
          <w:sz w:val="24"/>
        </w:rPr>
        <w:t>）涂层常规性能要求</w:t>
      </w:r>
      <w:bookmarkEnd w:id="1"/>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对涂层固化后的各项技术指标做出了详细规定</w:t>
      </w:r>
      <w:r>
        <w:rPr>
          <w:rStyle w:val="NormalCharacter"/>
          <w:rFonts w:ascii="宋体" w:hAnsi="宋体" w:cs="宋体" w:hint="eastAsia"/>
          <w:bCs/>
          <w:sz w:val="24"/>
        </w:rPr>
        <w:t>.</w:t>
      </w:r>
    </w:p>
    <w:p w:rsidR="00A03176" w:rsidRDefault="001A6DEC">
      <w:pPr>
        <w:spacing w:line="360" w:lineRule="auto"/>
        <w:textAlignment w:val="baseline"/>
        <w:rPr>
          <w:rStyle w:val="NormalCharacter"/>
          <w:rFonts w:ascii="宋体" w:hAnsi="宋体" w:cs="宋体"/>
          <w:bCs/>
          <w:sz w:val="24"/>
        </w:rPr>
      </w:pPr>
      <w:r>
        <w:rPr>
          <w:rStyle w:val="NormalCharacter"/>
          <w:rFonts w:ascii="宋体" w:hAnsi="宋体" w:cs="宋体" w:hint="eastAsia"/>
          <w:bCs/>
          <w:sz w:val="24"/>
        </w:rPr>
        <w:t>3</w:t>
      </w:r>
      <w:r>
        <w:rPr>
          <w:rStyle w:val="NormalCharacter"/>
          <w:rFonts w:ascii="宋体" w:hAnsi="宋体" w:cs="宋体" w:hint="eastAsia"/>
          <w:bCs/>
          <w:sz w:val="24"/>
        </w:rPr>
        <w:t>）试验方法</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对涂层各项技术指标检测试验方法、引用标准、试样规格进行了明确的说明，同时列出了引用标准号。</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四、预期达到的社会效益、对产业发展的作用等情况</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通过标准的制定和实施，将促进技术创新，增强产品的竞争力，同时为推进产业结构调整与优化升级创造条件，对规范市场竞争，引导市场良性发展。</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五、在标准体系中的位置，与现行相关法律、法规、规章及标准，特别是强制性标准的协调性</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本标准与现行相关法律、法规、规章及相关标准协调一致。</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六、重大分歧意见的处理经过和依据</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无。</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七、标准性质的建议说明</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建议本标准的性质为推荐性团体标准。</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八、贯彻标准的要求和措施建议</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一般情况下，建议本标准批准发布</w:t>
      </w:r>
      <w:r>
        <w:rPr>
          <w:rStyle w:val="NormalCharacter"/>
          <w:rFonts w:ascii="宋体" w:hAnsi="宋体" w:cs="宋体" w:hint="eastAsia"/>
          <w:bCs/>
          <w:sz w:val="24"/>
        </w:rPr>
        <w:t>6</w:t>
      </w:r>
      <w:r>
        <w:rPr>
          <w:rStyle w:val="NormalCharacter"/>
          <w:rFonts w:ascii="宋体" w:hAnsi="宋体" w:cs="宋体" w:hint="eastAsia"/>
          <w:bCs/>
          <w:sz w:val="24"/>
        </w:rPr>
        <w:t>个月后实施。</w:t>
      </w:r>
    </w:p>
    <w:p w:rsidR="00A03176" w:rsidRDefault="001A6DEC">
      <w:pPr>
        <w:spacing w:line="360" w:lineRule="auto"/>
        <w:textAlignment w:val="baseline"/>
        <w:rPr>
          <w:rFonts w:ascii="微软雅黑" w:eastAsia="微软雅黑" w:hAnsi="微软雅黑" w:cs="微软雅黑"/>
          <w:b/>
          <w:bCs/>
          <w:sz w:val="24"/>
        </w:rPr>
      </w:pPr>
      <w:r>
        <w:rPr>
          <w:rFonts w:ascii="微软雅黑" w:eastAsia="微软雅黑" w:hAnsi="微软雅黑" w:cs="微软雅黑" w:hint="eastAsia"/>
          <w:b/>
          <w:bCs/>
          <w:sz w:val="24"/>
        </w:rPr>
        <w:t>九、废止或代替现行相关标准的建议</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无。</w:t>
      </w:r>
    </w:p>
    <w:p w:rsidR="00A03176" w:rsidRDefault="001A6DEC">
      <w:pPr>
        <w:spacing w:line="360" w:lineRule="auto"/>
        <w:textAlignment w:val="baseline"/>
        <w:rPr>
          <w:rFonts w:ascii="黑体" w:eastAsia="黑体" w:hAnsi="黑体"/>
          <w:sz w:val="24"/>
        </w:rPr>
      </w:pPr>
      <w:r>
        <w:rPr>
          <w:rFonts w:ascii="微软雅黑" w:eastAsia="微软雅黑" w:hAnsi="微软雅黑" w:cs="微软雅黑" w:hint="eastAsia"/>
          <w:b/>
          <w:bCs/>
          <w:sz w:val="24"/>
        </w:rPr>
        <w:t>十、其他应予说明的事项</w:t>
      </w:r>
    </w:p>
    <w:p w:rsidR="00A03176" w:rsidRDefault="001A6DEC">
      <w:pPr>
        <w:spacing w:line="360" w:lineRule="auto"/>
        <w:ind w:firstLineChars="200" w:firstLine="480"/>
        <w:textAlignment w:val="baseline"/>
        <w:rPr>
          <w:rStyle w:val="NormalCharacter"/>
          <w:rFonts w:ascii="宋体" w:hAnsi="宋体" w:cs="宋体"/>
          <w:bCs/>
          <w:sz w:val="24"/>
        </w:rPr>
      </w:pPr>
      <w:r>
        <w:rPr>
          <w:rStyle w:val="NormalCharacter"/>
          <w:rFonts w:ascii="宋体" w:hAnsi="宋体" w:cs="宋体" w:hint="eastAsia"/>
          <w:bCs/>
          <w:sz w:val="24"/>
        </w:rPr>
        <w:t>无。</w:t>
      </w:r>
    </w:p>
    <w:sectPr w:rsidR="00A031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DEC" w:rsidRDefault="001A6DEC" w:rsidP="00210B9C">
      <w:r>
        <w:separator/>
      </w:r>
    </w:p>
  </w:endnote>
  <w:endnote w:type="continuationSeparator" w:id="0">
    <w:p w:rsidR="001A6DEC" w:rsidRDefault="001A6DEC" w:rsidP="0021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DEC" w:rsidRDefault="001A6DEC" w:rsidP="00210B9C">
      <w:r>
        <w:separator/>
      </w:r>
    </w:p>
  </w:footnote>
  <w:footnote w:type="continuationSeparator" w:id="0">
    <w:p w:rsidR="001A6DEC" w:rsidRDefault="001A6DEC" w:rsidP="00210B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869DBC"/>
    <w:multiLevelType w:val="singleLevel"/>
    <w:tmpl w:val="B6869DBC"/>
    <w:lvl w:ilvl="0">
      <w:start w:val="1"/>
      <w:numFmt w:val="decimal"/>
      <w:suff w:val="nothing"/>
      <w:lvlText w:val="%1）"/>
      <w:lvlJc w:val="left"/>
    </w:lvl>
  </w:abstractNum>
  <w:abstractNum w:abstractNumId="1" w15:restartNumberingAfterBreak="0">
    <w:nsid w:val="0000000B"/>
    <w:multiLevelType w:val="multilevel"/>
    <w:tmpl w:val="0000000B"/>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283"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7F50DD24"/>
    <w:multiLevelType w:val="singleLevel"/>
    <w:tmpl w:val="7F50DD24"/>
    <w:lvl w:ilvl="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RlMjBlYmNjYjFmZmZiN2U4MDlmMGMwMzUyZjVhNWIifQ=="/>
  </w:docVars>
  <w:rsids>
    <w:rsidRoot w:val="19355912"/>
    <w:rsid w:val="001A6DEC"/>
    <w:rsid w:val="00210B9C"/>
    <w:rsid w:val="00A03176"/>
    <w:rsid w:val="087F1F83"/>
    <w:rsid w:val="18D04B5C"/>
    <w:rsid w:val="19355912"/>
    <w:rsid w:val="1FDD42BD"/>
    <w:rsid w:val="24E22663"/>
    <w:rsid w:val="287833A0"/>
    <w:rsid w:val="29057A9C"/>
    <w:rsid w:val="29671B7E"/>
    <w:rsid w:val="2C1256EC"/>
    <w:rsid w:val="2CCF1C84"/>
    <w:rsid w:val="35725F52"/>
    <w:rsid w:val="4B5B6EA9"/>
    <w:rsid w:val="4E19181A"/>
    <w:rsid w:val="54932FA2"/>
    <w:rsid w:val="58AA0501"/>
    <w:rsid w:val="5B6919DF"/>
    <w:rsid w:val="66EE4385"/>
    <w:rsid w:val="6CE71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25E336-F144-4598-90CD-E511975E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link w:val="NormalCharacter"/>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uiPriority w:val="99"/>
    <w:qFormat/>
    <w:pPr>
      <w:snapToGrid w:val="0"/>
      <w:ind w:rightChars="100" w:right="210"/>
      <w:jc w:val="right"/>
    </w:pPr>
    <w:rPr>
      <w:sz w:val="18"/>
      <w:szCs w:val="18"/>
    </w:rPr>
  </w:style>
  <w:style w:type="paragraph" w:styleId="a5">
    <w:name w:val="header"/>
    <w:basedOn w:val="a0"/>
    <w:uiPriority w:val="99"/>
    <w:qFormat/>
    <w:pPr>
      <w:snapToGrid w:val="0"/>
      <w:jc w:val="left"/>
    </w:pPr>
    <w:rPr>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7">
    <w:name w:val="标准书眉_奇数页"/>
    <w:next w:val="a0"/>
    <w:qFormat/>
    <w:pPr>
      <w:tabs>
        <w:tab w:val="center" w:pos="4154"/>
        <w:tab w:val="right" w:pos="8306"/>
      </w:tabs>
      <w:spacing w:after="220"/>
      <w:jc w:val="right"/>
    </w:pPr>
    <w:rPr>
      <w:rFonts w:ascii="黑体" w:eastAsia="黑体" w:hAnsi="Times New Roman" w:cs="Times New Roman"/>
      <w:sz w:val="21"/>
      <w:szCs w:val="21"/>
    </w:rPr>
  </w:style>
  <w:style w:type="paragraph" w:customStyle="1" w:styleId="a8">
    <w:name w:val="标准书脚_偶数页"/>
    <w:qFormat/>
    <w:pPr>
      <w:spacing w:before="120"/>
      <w:ind w:left="221"/>
    </w:pPr>
    <w:rPr>
      <w:rFonts w:ascii="宋体" w:eastAsia="宋体" w:hAnsi="Times New Roman" w:cs="Times New Roman"/>
      <w:sz w:val="18"/>
      <w:szCs w:val="18"/>
    </w:rPr>
  </w:style>
  <w:style w:type="character" w:customStyle="1" w:styleId="NormalCharacter">
    <w:name w:val="NormalCharacter"/>
    <w:qFormat/>
    <w:rPr>
      <w:rFonts w:ascii="Times New Roman" w:eastAsia="宋体" w:hAnsi="Times New Roman" w:cs="Times New Roman"/>
      <w:kern w:val="2"/>
      <w:sz w:val="21"/>
      <w:szCs w:val="24"/>
      <w:lang w:val="en-US" w:eastAsia="zh-CN" w:bidi="ar-SA"/>
    </w:rPr>
  </w:style>
  <w:style w:type="paragraph" w:customStyle="1" w:styleId="a9">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
    <w:name w:val="章标题"/>
    <w:next w:val="a9"/>
    <w:qFormat/>
    <w:pPr>
      <w:numPr>
        <w:numId w:val="1"/>
      </w:numPr>
      <w:spacing w:beforeLines="100" w:afterLines="100"/>
      <w:jc w:val="both"/>
      <w:outlineLvl w:val="1"/>
    </w:pPr>
    <w:rPr>
      <w:rFonts w:ascii="黑体" w:eastAsia="黑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409</Words>
  <Characters>2332</Characters>
  <Application>Microsoft Office Word</Application>
  <DocSecurity>0</DocSecurity>
  <Lines>19</Lines>
  <Paragraphs>5</Paragraphs>
  <ScaleCrop>false</ScaleCrop>
  <Company>神州网信技术有限公司</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刘长新</cp:lastModifiedBy>
  <cp:revision>2</cp:revision>
  <dcterms:created xsi:type="dcterms:W3CDTF">2022-12-09T06:40:00Z</dcterms:created>
  <dcterms:modified xsi:type="dcterms:W3CDTF">2022-12-09T06:40:00Z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096766B1B95E47BA83CA67949666C53E</vt:lpwstr>
  </property>
</Properties>
</file>