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仿宋_GB2312" w:hAnsi="Calibri" w:eastAsia="仿宋_GB2312" w:cs="Times New Roman"/>
          <w:b/>
          <w:bCs/>
          <w:sz w:val="36"/>
          <w:szCs w:val="36"/>
        </w:rPr>
      </w:pPr>
      <w:r>
        <w:rPr>
          <w:rFonts w:hint="eastAsia" w:ascii="仿宋_GB2312" w:hAnsi="Calibri" w:eastAsia="仿宋_GB2312" w:cs="Times New Roman"/>
          <w:b/>
          <w:bCs/>
          <w:sz w:val="36"/>
          <w:szCs w:val="36"/>
        </w:rPr>
        <w:t>附件2：第二届中国金属学会标准化工作委员会</w:t>
      </w:r>
    </w:p>
    <w:p>
      <w:pPr>
        <w:spacing w:line="360" w:lineRule="auto"/>
        <w:jc w:val="center"/>
        <w:rPr>
          <w:rFonts w:hint="eastAsia" w:ascii="仿宋_GB2312" w:hAnsi="Calibri" w:eastAsia="仿宋_GB2312" w:cs="Times New Roman"/>
          <w:b/>
          <w:bCs/>
          <w:sz w:val="36"/>
          <w:szCs w:val="36"/>
        </w:rPr>
      </w:pPr>
      <w:r>
        <w:rPr>
          <w:rFonts w:hint="eastAsia" w:ascii="仿宋_GB2312" w:hAnsi="Calibri" w:eastAsia="仿宋_GB2312" w:cs="Times New Roman"/>
          <w:b/>
          <w:bCs/>
          <w:sz w:val="36"/>
          <w:szCs w:val="36"/>
        </w:rPr>
        <w:t>团体标准审查投票表</w:t>
      </w:r>
    </w:p>
    <w:p>
      <w:pPr>
        <w:rPr>
          <w:rFonts w:ascii="宋体" w:hAnsi="宋体"/>
          <w:b/>
          <w:bCs/>
          <w:sz w:val="32"/>
          <w:szCs w:val="32"/>
        </w:rPr>
      </w:pPr>
      <w:bookmarkStart w:id="0" w:name="_GoBack"/>
      <w:bookmarkEnd w:id="0"/>
    </w:p>
    <w:p>
      <w:pPr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委员姓名：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2664"/>
        <w:gridCol w:w="1139"/>
        <w:gridCol w:w="2081"/>
        <w:gridCol w:w="1120"/>
        <w:gridCol w:w="1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  <w:jc w:val="center"/>
        </w:trPr>
        <w:tc>
          <w:tcPr>
            <w:tcW w:w="268" w:type="pct"/>
            <w:vAlign w:val="center"/>
          </w:tcPr>
          <w:p>
            <w:pPr>
              <w:pStyle w:val="2"/>
              <w:spacing w:line="320" w:lineRule="exact"/>
              <w:ind w:left="0" w:leftChars="0"/>
              <w:jc w:val="center"/>
              <w:rPr>
                <w:rFonts w:asciiTheme="majorEastAsia" w:hAnsiTheme="majorEastAsia" w:eastAsiaTheme="majorEastAsia"/>
                <w:b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序号</w:t>
            </w:r>
          </w:p>
        </w:tc>
        <w:tc>
          <w:tcPr>
            <w:tcW w:w="1562" w:type="pct"/>
            <w:vAlign w:val="center"/>
          </w:tcPr>
          <w:p>
            <w:pPr>
              <w:pStyle w:val="2"/>
              <w:spacing w:line="320" w:lineRule="exact"/>
              <w:ind w:left="0" w:leftChars="0"/>
              <w:jc w:val="center"/>
              <w:rPr>
                <w:rFonts w:asciiTheme="majorEastAsia" w:hAnsiTheme="majorEastAsia" w:eastAsiaTheme="majorEastAsia"/>
                <w:b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标准名称</w:t>
            </w:r>
          </w:p>
        </w:tc>
        <w:tc>
          <w:tcPr>
            <w:tcW w:w="668" w:type="pct"/>
            <w:vAlign w:val="center"/>
          </w:tcPr>
          <w:p>
            <w:pPr>
              <w:pStyle w:val="2"/>
              <w:spacing w:line="320" w:lineRule="exact"/>
              <w:ind w:left="0" w:leftChars="0"/>
              <w:jc w:val="center"/>
            </w:pPr>
            <w:r>
              <w:rPr>
                <w:rFonts w:hint="eastAsia"/>
              </w:rPr>
              <w:t>同  意（</w:t>
            </w:r>
            <w:r>
              <w:rPr>
                <w:rFonts w:hint="eastAsia"/>
                <w:sz w:val="32"/>
                <w:szCs w:val="32"/>
              </w:rPr>
              <w:t>√</w:t>
            </w:r>
            <w:r>
              <w:rPr>
                <w:rFonts w:hint="eastAsia"/>
              </w:rPr>
              <w:t>）</w:t>
            </w:r>
          </w:p>
        </w:tc>
        <w:tc>
          <w:tcPr>
            <w:tcW w:w="1220" w:type="pct"/>
            <w:vAlign w:val="center"/>
          </w:tcPr>
          <w:p>
            <w:pPr>
              <w:pStyle w:val="2"/>
              <w:spacing w:line="320" w:lineRule="exact"/>
              <w:ind w:left="0" w:leftChars="0"/>
              <w:jc w:val="center"/>
              <w:rPr>
                <w:rFonts w:asciiTheme="majorEastAsia" w:hAnsiTheme="majorEastAsia" w:eastAsiaTheme="majorEastAsia"/>
                <w:b/>
                <w:sz w:val="24"/>
                <w:szCs w:val="24"/>
              </w:rPr>
            </w:pPr>
            <w:r>
              <w:rPr>
                <w:rFonts w:hint="eastAsia"/>
              </w:rPr>
              <w:t>修改意见或建议（如建议较多，可另附页填写）</w:t>
            </w:r>
          </w:p>
        </w:tc>
        <w:tc>
          <w:tcPr>
            <w:tcW w:w="657" w:type="pct"/>
            <w:vAlign w:val="center"/>
          </w:tcPr>
          <w:p>
            <w:pPr>
              <w:pStyle w:val="2"/>
              <w:spacing w:line="320" w:lineRule="exact"/>
              <w:ind w:left="0" w:leftChars="0"/>
              <w:jc w:val="center"/>
            </w:pPr>
            <w:r>
              <w:rPr>
                <w:rFonts w:hint="eastAsia"/>
              </w:rPr>
              <w:t>弃权（○）</w:t>
            </w:r>
          </w:p>
        </w:tc>
        <w:tc>
          <w:tcPr>
            <w:tcW w:w="622" w:type="pct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30"/>
              </w:rPr>
            </w:pPr>
            <w:r>
              <w:rPr>
                <w:rFonts w:hint="eastAsia" w:ascii="仿宋_GB2312" w:eastAsia="仿宋_GB2312"/>
                <w:sz w:val="30"/>
              </w:rPr>
              <w:t>不同意（</w:t>
            </w:r>
            <w:r>
              <w:rPr>
                <w:rFonts w:hint="eastAsia" w:ascii="仿宋_GB2312" w:eastAsia="仿宋_GB2312"/>
                <w:sz w:val="24"/>
                <w:szCs w:val="24"/>
              </w:rPr>
              <w:t>╳</w:t>
            </w:r>
            <w:r>
              <w:rPr>
                <w:rFonts w:hint="eastAsia" w:ascii="仿宋_GB2312" w:eastAsia="仿宋_GB2312"/>
                <w:sz w:val="30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68" w:type="pct"/>
            <w:vAlign w:val="center"/>
          </w:tcPr>
          <w:p>
            <w:pPr>
              <w:spacing w:line="400" w:lineRule="exact"/>
              <w:jc w:val="center"/>
              <w:rPr>
                <w:rFonts w:asciiTheme="majorEastAsia" w:hAnsiTheme="majorEastAsia" w:eastAsiaTheme="majorEastAsia"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Cs/>
                <w:sz w:val="28"/>
                <w:szCs w:val="28"/>
              </w:rPr>
              <w:t>1</w:t>
            </w:r>
          </w:p>
        </w:tc>
        <w:tc>
          <w:tcPr>
            <w:tcW w:w="1562" w:type="pct"/>
            <w:vAlign w:val="center"/>
          </w:tcPr>
          <w:p>
            <w:pPr>
              <w:spacing w:line="40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《铁矿采选企业生态环境管理指南》</w:t>
            </w:r>
          </w:p>
        </w:tc>
        <w:tc>
          <w:tcPr>
            <w:tcW w:w="668" w:type="pct"/>
            <w:vAlign w:val="center"/>
          </w:tcPr>
          <w:p>
            <w:pPr>
              <w:spacing w:line="400" w:lineRule="exact"/>
              <w:jc w:val="center"/>
              <w:rPr>
                <w:rFonts w:asciiTheme="majorEastAsia" w:hAnsiTheme="majorEastAsia" w:eastAsiaTheme="majorEastAsia"/>
                <w:bCs/>
                <w:sz w:val="28"/>
                <w:szCs w:val="28"/>
              </w:rPr>
            </w:pPr>
          </w:p>
        </w:tc>
        <w:tc>
          <w:tcPr>
            <w:tcW w:w="1220" w:type="pct"/>
            <w:vAlign w:val="center"/>
          </w:tcPr>
          <w:p>
            <w:pPr>
              <w:spacing w:line="400" w:lineRule="exact"/>
              <w:jc w:val="left"/>
              <w:rPr>
                <w:rFonts w:asciiTheme="majorEastAsia" w:hAnsiTheme="majorEastAsia" w:eastAsiaTheme="majorEastAsia"/>
                <w:bCs/>
                <w:sz w:val="28"/>
                <w:szCs w:val="28"/>
              </w:rPr>
            </w:pPr>
          </w:p>
        </w:tc>
        <w:tc>
          <w:tcPr>
            <w:tcW w:w="657" w:type="pct"/>
          </w:tcPr>
          <w:p>
            <w:pPr>
              <w:spacing w:line="400" w:lineRule="exact"/>
              <w:jc w:val="left"/>
              <w:rPr>
                <w:rFonts w:asciiTheme="majorEastAsia" w:hAnsiTheme="majorEastAsia" w:eastAsiaTheme="majorEastAsia"/>
                <w:bCs/>
                <w:sz w:val="28"/>
                <w:szCs w:val="28"/>
              </w:rPr>
            </w:pPr>
          </w:p>
        </w:tc>
        <w:tc>
          <w:tcPr>
            <w:tcW w:w="622" w:type="pct"/>
          </w:tcPr>
          <w:p>
            <w:pPr>
              <w:spacing w:line="400" w:lineRule="exact"/>
              <w:jc w:val="left"/>
              <w:rPr>
                <w:rFonts w:asciiTheme="majorEastAsia" w:hAnsiTheme="majorEastAsia" w:eastAsiaTheme="majorEastAsia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68" w:type="pct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2</w:t>
            </w:r>
          </w:p>
        </w:tc>
        <w:tc>
          <w:tcPr>
            <w:tcW w:w="1562" w:type="pct"/>
            <w:vAlign w:val="center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《钢铁行业能源评价方法》</w:t>
            </w:r>
          </w:p>
        </w:tc>
        <w:tc>
          <w:tcPr>
            <w:tcW w:w="668" w:type="pct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1220" w:type="pct"/>
            <w:vAlign w:val="center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657" w:type="pct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622" w:type="pct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68" w:type="pct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3</w:t>
            </w:r>
          </w:p>
        </w:tc>
        <w:tc>
          <w:tcPr>
            <w:tcW w:w="1562" w:type="pct"/>
            <w:vAlign w:val="center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《无取向电工钢环保型绝缘涂层》</w:t>
            </w:r>
          </w:p>
        </w:tc>
        <w:tc>
          <w:tcPr>
            <w:tcW w:w="668" w:type="pct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1220" w:type="pct"/>
            <w:vAlign w:val="center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657" w:type="pct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622" w:type="pct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68" w:type="pct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4</w:t>
            </w:r>
          </w:p>
        </w:tc>
        <w:tc>
          <w:tcPr>
            <w:tcW w:w="1562" w:type="pct"/>
            <w:vAlign w:val="center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《钢铁行业智能废钢验质系统总体要求》</w:t>
            </w:r>
          </w:p>
        </w:tc>
        <w:tc>
          <w:tcPr>
            <w:tcW w:w="668" w:type="pct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1220" w:type="pct"/>
            <w:vAlign w:val="center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657" w:type="pct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622" w:type="pct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68" w:type="pct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5</w:t>
            </w:r>
          </w:p>
        </w:tc>
        <w:tc>
          <w:tcPr>
            <w:tcW w:w="1562" w:type="pct"/>
            <w:vAlign w:val="center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《船体结构用钢激光电弧复合焊接工艺规范》</w:t>
            </w:r>
          </w:p>
        </w:tc>
        <w:tc>
          <w:tcPr>
            <w:tcW w:w="668" w:type="pct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1220" w:type="pct"/>
            <w:vAlign w:val="center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657" w:type="pct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622" w:type="pct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68" w:type="pct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6</w:t>
            </w:r>
          </w:p>
        </w:tc>
        <w:tc>
          <w:tcPr>
            <w:tcW w:w="1562" w:type="pct"/>
            <w:vAlign w:val="center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《高炉炼铁变压吸附供氧技术要求》</w:t>
            </w:r>
          </w:p>
        </w:tc>
        <w:tc>
          <w:tcPr>
            <w:tcW w:w="668" w:type="pct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1220" w:type="pct"/>
            <w:vAlign w:val="center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657" w:type="pct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622" w:type="pct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68" w:type="pct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1562" w:type="pct"/>
            <w:vAlign w:val="center"/>
          </w:tcPr>
          <w:p>
            <w:pPr>
              <w:spacing w:line="50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《螺旋梯度熔炼连铸设备》</w:t>
            </w:r>
          </w:p>
        </w:tc>
        <w:tc>
          <w:tcPr>
            <w:tcW w:w="668" w:type="pct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1220" w:type="pct"/>
            <w:vAlign w:val="center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657" w:type="pct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  <w:tc>
          <w:tcPr>
            <w:tcW w:w="622" w:type="pct"/>
          </w:tcPr>
          <w:p>
            <w:pPr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</w:tr>
    </w:tbl>
    <w:p>
      <w:pPr>
        <w:rPr>
          <w:rFonts w:hint="eastAsia"/>
        </w:rPr>
      </w:pPr>
    </w:p>
    <w:p>
      <w:pPr>
        <w:spacing w:line="500" w:lineRule="exact"/>
        <w:rPr>
          <w:rFonts w:ascii="仿宋" w:hAnsi="仿宋" w:eastAsia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NkZDkzMDNiODEwZTkzMGIzNDIxODUzNzdhOGJlYWYifQ=="/>
  </w:docVars>
  <w:rsids>
    <w:rsidRoot w:val="00AA742C"/>
    <w:rsid w:val="00005C7C"/>
    <w:rsid w:val="00036CB0"/>
    <w:rsid w:val="000D512C"/>
    <w:rsid w:val="00145E26"/>
    <w:rsid w:val="0015458D"/>
    <w:rsid w:val="00155019"/>
    <w:rsid w:val="00164FC9"/>
    <w:rsid w:val="00174F19"/>
    <w:rsid w:val="001A42C3"/>
    <w:rsid w:val="001A7C34"/>
    <w:rsid w:val="0021636A"/>
    <w:rsid w:val="00230D8C"/>
    <w:rsid w:val="002E2739"/>
    <w:rsid w:val="002F4710"/>
    <w:rsid w:val="00327A63"/>
    <w:rsid w:val="0038491F"/>
    <w:rsid w:val="003B250C"/>
    <w:rsid w:val="003C3ACC"/>
    <w:rsid w:val="003D0185"/>
    <w:rsid w:val="00421D6E"/>
    <w:rsid w:val="00437C49"/>
    <w:rsid w:val="00442124"/>
    <w:rsid w:val="0048412B"/>
    <w:rsid w:val="004B57BD"/>
    <w:rsid w:val="005077AB"/>
    <w:rsid w:val="005253DE"/>
    <w:rsid w:val="005431FE"/>
    <w:rsid w:val="00593843"/>
    <w:rsid w:val="005A6259"/>
    <w:rsid w:val="005D5B0D"/>
    <w:rsid w:val="006118BD"/>
    <w:rsid w:val="00662ACE"/>
    <w:rsid w:val="00773FF7"/>
    <w:rsid w:val="007944B8"/>
    <w:rsid w:val="007C5241"/>
    <w:rsid w:val="008A19E9"/>
    <w:rsid w:val="008E3B99"/>
    <w:rsid w:val="00902BED"/>
    <w:rsid w:val="00922485"/>
    <w:rsid w:val="00923683"/>
    <w:rsid w:val="009372A4"/>
    <w:rsid w:val="00950A1E"/>
    <w:rsid w:val="00A41590"/>
    <w:rsid w:val="00A5313B"/>
    <w:rsid w:val="00A76ACF"/>
    <w:rsid w:val="00AA0F68"/>
    <w:rsid w:val="00AA742C"/>
    <w:rsid w:val="00AF4357"/>
    <w:rsid w:val="00AF5AB5"/>
    <w:rsid w:val="00BB0F7F"/>
    <w:rsid w:val="00BC72DF"/>
    <w:rsid w:val="00BD0CD4"/>
    <w:rsid w:val="00C0572D"/>
    <w:rsid w:val="00C15092"/>
    <w:rsid w:val="00C77187"/>
    <w:rsid w:val="00C91C95"/>
    <w:rsid w:val="00CB1B4C"/>
    <w:rsid w:val="00CE18FA"/>
    <w:rsid w:val="00D012EE"/>
    <w:rsid w:val="00D07CBC"/>
    <w:rsid w:val="00D16C94"/>
    <w:rsid w:val="00D80AB7"/>
    <w:rsid w:val="00D81FE3"/>
    <w:rsid w:val="00D84DC7"/>
    <w:rsid w:val="00DA225B"/>
    <w:rsid w:val="00DA518B"/>
    <w:rsid w:val="00DB7D57"/>
    <w:rsid w:val="00E91759"/>
    <w:rsid w:val="00EA0B00"/>
    <w:rsid w:val="00F76B41"/>
    <w:rsid w:val="00F85853"/>
    <w:rsid w:val="00FB3358"/>
    <w:rsid w:val="00FC3556"/>
    <w:rsid w:val="00FE1F76"/>
    <w:rsid w:val="0C017674"/>
    <w:rsid w:val="196A733A"/>
    <w:rsid w:val="1B583CF9"/>
    <w:rsid w:val="1D4112F2"/>
    <w:rsid w:val="1DA67741"/>
    <w:rsid w:val="22DC1674"/>
    <w:rsid w:val="23EE2EB4"/>
    <w:rsid w:val="26404229"/>
    <w:rsid w:val="292837B5"/>
    <w:rsid w:val="2FE565B2"/>
    <w:rsid w:val="3C5D72FE"/>
    <w:rsid w:val="4D47212B"/>
    <w:rsid w:val="51E25CE3"/>
    <w:rsid w:val="54F06C45"/>
    <w:rsid w:val="5A485DC2"/>
    <w:rsid w:val="5C154C5B"/>
    <w:rsid w:val="5E84177F"/>
    <w:rsid w:val="687C45B3"/>
    <w:rsid w:val="6A757C9B"/>
    <w:rsid w:val="6E574CC6"/>
    <w:rsid w:val="6FC85C6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qFormat/>
    <w:uiPriority w:val="0"/>
  </w:style>
  <w:style w:type="character" w:styleId="9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4"/>
    <w:qFormat/>
    <w:uiPriority w:val="99"/>
    <w:rPr>
      <w:sz w:val="18"/>
      <w:szCs w:val="18"/>
    </w:rPr>
  </w:style>
  <w:style w:type="character" w:customStyle="1" w:styleId="12">
    <w:name w:val="span_mc"/>
    <w:basedOn w:val="7"/>
    <w:qFormat/>
    <w:uiPriority w:val="0"/>
  </w:style>
  <w:style w:type="character" w:customStyle="1" w:styleId="13">
    <w:name w:val="批注框文本 字符"/>
    <w:basedOn w:val="7"/>
    <w:link w:val="3"/>
    <w:semiHidden/>
    <w:qFormat/>
    <w:uiPriority w:val="99"/>
    <w:rPr>
      <w:sz w:val="18"/>
      <w:szCs w:val="18"/>
    </w:rPr>
  </w:style>
  <w:style w:type="character" w:customStyle="1" w:styleId="14">
    <w:name w:val="日期 字符"/>
    <w:basedOn w:val="7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27AA11-7EBD-4B10-8034-31D14979CD1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734</Words>
  <Characters>814</Characters>
  <Lines>5</Lines>
  <Paragraphs>1</Paragraphs>
  <TotalTime>9</TotalTime>
  <ScaleCrop>false</ScaleCrop>
  <LinksUpToDate>false</LinksUpToDate>
  <CharactersWithSpaces>929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2022-12-09T07:00:00Z</dcterms:created>
  <dc:creator>刘长新</dc:creator>
  <cp:lastModifiedBy>黑色幽默</cp:lastModifiedBy>
  <cp:lastPrinted>2022-12-16T07:58:00Z</cp:lastPrinted>
  <dcterms:modified xsi:type="dcterms:W3CDTF">2022-12-16T09:58:50Z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C1A7E9F6EC264871832CD0D22501C8F7</vt:lpwstr>
  </property>
</Properties>
</file>