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CA05C0" w14:textId="77777777" w:rsidR="00171F3F" w:rsidRDefault="00CE3A76">
      <w:pPr>
        <w:framePr w:w="9639" w:h="1273" w:hRule="exact" w:hSpace="181" w:vSpace="181" w:wrap="around" w:vAnchor="page" w:hAnchor="page" w:x="1404" w:y="2329" w:anchorLock="1"/>
        <w:kinsoku w:val="0"/>
        <w:overflowPunct w:val="0"/>
        <w:autoSpaceDE w:val="0"/>
        <w:autoSpaceDN w:val="0"/>
        <w:spacing w:line="0" w:lineRule="atLeast"/>
        <w:ind w:left="0"/>
        <w:jc w:val="distribute"/>
        <w:rPr>
          <w:rFonts w:ascii="黑体" w:eastAsia="黑体" w:hAnsi="黑体"/>
          <w:bCs/>
          <w:spacing w:val="20"/>
          <w:kern w:val="0"/>
          <w:sz w:val="84"/>
          <w:szCs w:val="84"/>
        </w:rPr>
      </w:pPr>
      <w:bookmarkStart w:id="0" w:name="_Hlk37324870"/>
      <w:r>
        <w:rPr>
          <w:rFonts w:ascii="黑体" w:eastAsia="黑体" w:hAnsi="黑体" w:hint="eastAsia"/>
          <w:bCs/>
          <w:spacing w:val="20"/>
          <w:kern w:val="0"/>
          <w:sz w:val="84"/>
          <w:szCs w:val="84"/>
        </w:rPr>
        <w:t>团体标准</w:t>
      </w:r>
    </w:p>
    <w:p w14:paraId="624B9334" w14:textId="4D310676" w:rsidR="00171F3F" w:rsidRDefault="00CE3A76">
      <w:pPr>
        <w:framePr w:w="9140" w:h="1242" w:hRule="exact" w:hSpace="284" w:wrap="around" w:vAnchor="page" w:hAnchor="page" w:x="1709" w:y="3409" w:anchorLock="1"/>
        <w:widowControl/>
        <w:wordWrap w:val="0"/>
        <w:spacing w:before="357" w:line="280" w:lineRule="exact"/>
        <w:ind w:left="0"/>
        <w:jc w:val="right"/>
        <w:rPr>
          <w:rFonts w:ascii="黑体" w:eastAsia="黑体" w:hAnsi="黑体"/>
          <w:kern w:val="0"/>
          <w:sz w:val="28"/>
          <w:szCs w:val="28"/>
        </w:rPr>
      </w:pPr>
      <w:r w:rsidRPr="00880368">
        <w:rPr>
          <w:rFonts w:eastAsia="黑体" w:hint="eastAsia"/>
          <w:kern w:val="0"/>
          <w:sz w:val="28"/>
          <w:szCs w:val="28"/>
          <w:highlight w:val="yellow"/>
        </w:rPr>
        <w:t>T</w:t>
      </w:r>
      <w:r w:rsidRPr="00880368">
        <w:rPr>
          <w:rFonts w:ascii="黑体" w:eastAsia="黑体"/>
          <w:kern w:val="0"/>
          <w:sz w:val="28"/>
          <w:szCs w:val="28"/>
          <w:highlight w:val="yellow"/>
        </w:rPr>
        <w:fldChar w:fldCharType="begin">
          <w:ffData>
            <w:name w:val="StdNo1"/>
            <w:enabled/>
            <w:calcOnExit w:val="0"/>
            <w:textInput>
              <w:default w:val="/CSMXXXX"/>
            </w:textInput>
          </w:ffData>
        </w:fldChar>
      </w:r>
      <w:bookmarkStart w:id="1" w:name="StdNo1"/>
      <w:r w:rsidRPr="00880368">
        <w:rPr>
          <w:rFonts w:ascii="黑体" w:eastAsia="黑体"/>
          <w:kern w:val="0"/>
          <w:sz w:val="28"/>
          <w:szCs w:val="28"/>
          <w:highlight w:val="yellow"/>
        </w:rPr>
        <w:instrText xml:space="preserve"> FORMTEXT </w:instrText>
      </w:r>
      <w:r w:rsidRPr="00880368">
        <w:rPr>
          <w:rFonts w:ascii="黑体" w:eastAsia="黑体"/>
          <w:kern w:val="0"/>
          <w:sz w:val="28"/>
          <w:szCs w:val="28"/>
          <w:highlight w:val="yellow"/>
        </w:rPr>
      </w:r>
      <w:r w:rsidRPr="00880368">
        <w:rPr>
          <w:rFonts w:ascii="黑体" w:eastAsia="黑体"/>
          <w:kern w:val="0"/>
          <w:sz w:val="28"/>
          <w:szCs w:val="28"/>
          <w:highlight w:val="yellow"/>
        </w:rPr>
        <w:fldChar w:fldCharType="separate"/>
      </w:r>
      <w:r w:rsidRPr="00880368">
        <w:rPr>
          <w:rFonts w:ascii="黑体" w:eastAsia="黑体"/>
          <w:kern w:val="0"/>
          <w:sz w:val="28"/>
          <w:szCs w:val="28"/>
          <w:highlight w:val="yellow"/>
        </w:rPr>
        <w:t>/CSM</w:t>
      </w:r>
      <w:r w:rsidRPr="00880368">
        <w:rPr>
          <w:rFonts w:ascii="黑体" w:eastAsia="黑体"/>
          <w:kern w:val="0"/>
          <w:sz w:val="28"/>
          <w:szCs w:val="28"/>
          <w:highlight w:val="yellow"/>
        </w:rPr>
        <w:fldChar w:fldCharType="end"/>
      </w:r>
      <w:bookmarkEnd w:id="1"/>
      <w:r w:rsidR="004E4192">
        <w:rPr>
          <w:rFonts w:ascii="黑体" w:eastAsia="黑体"/>
          <w:kern w:val="0"/>
          <w:sz w:val="28"/>
          <w:szCs w:val="28"/>
          <w:highlight w:val="yellow"/>
        </w:rPr>
        <w:t xml:space="preserve">  </w:t>
      </w:r>
      <w:r w:rsidRPr="00880368">
        <w:rPr>
          <w:rFonts w:ascii="黑体" w:eastAsia="黑体" w:hAnsi="黑体"/>
          <w:kern w:val="0"/>
          <w:sz w:val="28"/>
          <w:szCs w:val="28"/>
          <w:highlight w:val="yellow"/>
        </w:rPr>
        <w:t>—</w:t>
      </w:r>
      <w:r w:rsidRPr="00880368">
        <w:rPr>
          <w:rFonts w:ascii="黑体" w:eastAsia="黑体" w:hAnsi="黑体"/>
          <w:kern w:val="0"/>
          <w:sz w:val="28"/>
          <w:szCs w:val="28"/>
          <w:highlight w:val="yellow"/>
        </w:rPr>
        <w:fldChar w:fldCharType="begin">
          <w:ffData>
            <w:name w:val="StdNo2"/>
            <w:enabled/>
            <w:calcOnExit w:val="0"/>
            <w:textInput>
              <w:default w:val="2021"/>
            </w:textInput>
          </w:ffData>
        </w:fldChar>
      </w:r>
      <w:bookmarkStart w:id="2" w:name="StdNo2"/>
      <w:r w:rsidRPr="00880368">
        <w:rPr>
          <w:rFonts w:ascii="黑体" w:eastAsia="黑体" w:hAnsi="黑体"/>
          <w:kern w:val="0"/>
          <w:sz w:val="28"/>
          <w:szCs w:val="28"/>
          <w:highlight w:val="yellow"/>
        </w:rPr>
        <w:instrText xml:space="preserve"> FORMTEXT </w:instrText>
      </w:r>
      <w:r w:rsidRPr="00880368">
        <w:rPr>
          <w:rFonts w:ascii="黑体" w:eastAsia="黑体" w:hAnsi="黑体"/>
          <w:kern w:val="0"/>
          <w:sz w:val="28"/>
          <w:szCs w:val="28"/>
          <w:highlight w:val="yellow"/>
        </w:rPr>
      </w:r>
      <w:r w:rsidRPr="00880368">
        <w:rPr>
          <w:rFonts w:ascii="黑体" w:eastAsia="黑体" w:hAnsi="黑体"/>
          <w:kern w:val="0"/>
          <w:sz w:val="28"/>
          <w:szCs w:val="28"/>
          <w:highlight w:val="yellow"/>
        </w:rPr>
        <w:fldChar w:fldCharType="separate"/>
      </w:r>
      <w:r w:rsidRPr="00880368">
        <w:rPr>
          <w:rFonts w:ascii="黑体" w:eastAsia="黑体" w:hAnsi="黑体"/>
          <w:kern w:val="0"/>
          <w:sz w:val="28"/>
          <w:szCs w:val="28"/>
          <w:highlight w:val="yellow"/>
        </w:rPr>
        <w:t>202</w:t>
      </w:r>
      <w:r w:rsidR="00880368">
        <w:rPr>
          <w:rFonts w:ascii="黑体" w:eastAsia="黑体" w:hAnsi="黑体" w:hint="eastAsia"/>
          <w:kern w:val="0"/>
          <w:sz w:val="28"/>
          <w:szCs w:val="28"/>
          <w:highlight w:val="yellow"/>
        </w:rPr>
        <w:t>2</w:t>
      </w:r>
      <w:r w:rsidRPr="00880368">
        <w:rPr>
          <w:rFonts w:ascii="黑体" w:eastAsia="黑体" w:hAnsi="黑体"/>
          <w:kern w:val="0"/>
          <w:sz w:val="28"/>
          <w:szCs w:val="28"/>
          <w:highlight w:val="yellow"/>
        </w:rPr>
        <w:fldChar w:fldCharType="end"/>
      </w:r>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6"/>
      </w:tblGrid>
      <w:tr w:rsidR="00171F3F" w14:paraId="2BEE67CB" w14:textId="77777777">
        <w:tc>
          <w:tcPr>
            <w:tcW w:w="9356" w:type="dxa"/>
            <w:tcBorders>
              <w:top w:val="nil"/>
              <w:left w:val="nil"/>
              <w:bottom w:val="nil"/>
              <w:right w:val="nil"/>
            </w:tcBorders>
          </w:tcPr>
          <w:p w14:paraId="085B26DB" w14:textId="77777777" w:rsidR="00171F3F" w:rsidRDefault="00CE3A76">
            <w:pPr>
              <w:framePr w:w="9140" w:h="1242" w:hRule="exact" w:hSpace="284" w:wrap="around" w:vAnchor="page" w:hAnchor="page" w:x="1709" w:y="3409" w:anchorLock="1"/>
              <w:widowControl/>
              <w:spacing w:before="57" w:line="280" w:lineRule="exact"/>
              <w:ind w:left="0" w:right="840"/>
              <w:rPr>
                <w:rFonts w:ascii="宋体"/>
                <w:kern w:val="0"/>
                <w:szCs w:val="21"/>
              </w:rPr>
            </w:pPr>
            <w:r>
              <w:rPr>
                <w:rFonts w:ascii="宋体"/>
                <w:noProof/>
                <w:kern w:val="0"/>
                <w:szCs w:val="21"/>
              </w:rPr>
              <mc:AlternateContent>
                <mc:Choice Requires="wps">
                  <w:drawing>
                    <wp:anchor distT="0" distB="0" distL="114300" distR="114300" simplePos="0" relativeHeight="251660288" behindDoc="1" locked="0" layoutInCell="1" allowOverlap="1" wp14:anchorId="312D3D7E" wp14:editId="2F9CD661">
                      <wp:simplePos x="0" y="0"/>
                      <wp:positionH relativeFrom="column">
                        <wp:posOffset>4734560</wp:posOffset>
                      </wp:positionH>
                      <wp:positionV relativeFrom="paragraph">
                        <wp:posOffset>34290</wp:posOffset>
                      </wp:positionV>
                      <wp:extent cx="1143000" cy="228600"/>
                      <wp:effectExtent l="0" t="0" r="0" b="0"/>
                      <wp:wrapNone/>
                      <wp:docPr id="29" name="矩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a:noFill/>
                              </a:ln>
                              <a:effectLst/>
                            </wps:spPr>
                            <wps:txbx>
                              <w:txbxContent>
                                <w:p w14:paraId="224A8442" w14:textId="77777777" w:rsidR="00CE3A76" w:rsidRDefault="00CE3A76"/>
                              </w:txbxContent>
                            </wps:txbx>
                            <wps:bodyPr rot="0" vert="horz" wrap="square" lIns="91440" tIns="45720" rIns="91440" bIns="45720" anchor="t" anchorCtr="0" upright="1">
                              <a:noAutofit/>
                            </wps:bodyPr>
                          </wps:wsp>
                        </a:graphicData>
                      </a:graphic>
                    </wp:anchor>
                  </w:drawing>
                </mc:Choice>
                <mc:Fallback>
                  <w:pict>
                    <v:rect w14:anchorId="312D3D7E" id="矩形 29" o:spid="_x0000_s1026" style="position:absolute;left:0;text-align:left;margin-left:372.8pt;margin-top:2.7pt;width:90pt;height:18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bDQIAAPMDAAAOAAAAZHJzL2Uyb0RvYy54bWysU12O0zAQfkfiDpbfaZJSlt2o6WrVVRHS&#10;AistHMBxnMQi8Zix26RcBok3DsFxENdg7LTdAm8IP1iev29mvhkvr8e+YzuFToMpeDZLOVNGQqVN&#10;U/AP7zfPLjlzXphKdGBUwffK8evV0yfLweZqDi10lUJGIMblgy14673Nk8TJVvXCzcAqQ8YasBee&#10;RGySCsVA6H2XzNP0IhkAK4sglXOkvZ2MfBXx61pJ/66unfKsKzjV5uON8S7DnayWIm9Q2FbLQxni&#10;H6rohTaU9AR1K7xgW9R/QfVaIjio/UxCn0Bda6liD9RNlv7RzUMrrIq9EDnOnmhy/w9Wvt3dI9NV&#10;wedXnBnR04x+fvn24/tXRgpiZ7AuJ6cHe4+hP2fvQH50zMC6FaZRN4gwtEpUVFMW/JPfAoLgKJSV&#10;wxuoCFtsPUSixhr7AEgUsDHOY3+ahxo9k6TMssXzNKWxSbLN55cX9A4pRH6Mtuj8KwU9C4+CI807&#10;oovdnfOT69ElVg+drja666KATbnukO0E7cYmngO6O3frTHA2EMImxEmj4nYd0hz7nPjyYzmSa1CW&#10;UO2pfYRp8+in0KMF/MzZQFtXcPdpK1Bx1r02ROFVtliENY3C4sXLOQl4binPLcJIgiq452x6rv20&#10;2luLumkpUxbZMHBDtNc6MvJY1WFYtFmR08MvCKt7Lkevx7+6+gUAAP//AwBQSwMEFAAGAAgAAAAh&#10;AMy57rjdAAAACAEAAA8AAABkcnMvZG93bnJldi54bWxMj8FOwzAQRO9I/IO1SNyo0+KENs2mQkg9&#10;AQdaJK7beJtExHaInTb8Pe6JHkczmnlTbCbTiRMPvnUWYT5LQLCtnG5tjfC53z4sQfhAVlPnLCP8&#10;sodNeXtTUK7d2X7waRdqEUuszwmhCaHPpfRVw4b8zPVso3d0g6EQ5VBLPdA5lptOLpIkk4ZaGxca&#10;6vml4ep7NxoEypT+eT8+vu1fx4xW9ZRs068E8f5uel6DCDyF/zBc8CM6lJHp4EarvegQnlSaxShC&#10;qkBEf7W46AOCmiuQZSGvD5R/AAAA//8DAFBLAQItABQABgAIAAAAIQC2gziS/gAAAOEBAAATAAAA&#10;AAAAAAAAAAAAAAAAAABbQ29udGVudF9UeXBlc10ueG1sUEsBAi0AFAAGAAgAAAAhADj9If/WAAAA&#10;lAEAAAsAAAAAAAAAAAAAAAAALwEAAF9yZWxzLy5yZWxzUEsBAi0AFAAGAAgAAAAhAD+n/VsNAgAA&#10;8wMAAA4AAAAAAAAAAAAAAAAALgIAAGRycy9lMm9Eb2MueG1sUEsBAi0AFAAGAAgAAAAhAMy57rjd&#10;AAAACAEAAA8AAAAAAAAAAAAAAAAAZwQAAGRycy9kb3ducmV2LnhtbFBLBQYAAAAABAAEAPMAAABx&#10;BQAAAAA=&#10;" stroked="f">
                      <v:textbox>
                        <w:txbxContent>
                          <w:p w14:paraId="224A8442" w14:textId="77777777" w:rsidR="00CE3A76" w:rsidRDefault="00CE3A76"/>
                        </w:txbxContent>
                      </v:textbox>
                    </v:rect>
                  </w:pict>
                </mc:Fallback>
              </mc:AlternateContent>
            </w:r>
          </w:p>
        </w:tc>
      </w:tr>
    </w:tbl>
    <w:p w14:paraId="74108E1E" w14:textId="77777777" w:rsidR="00171F3F" w:rsidRDefault="00171F3F">
      <w:pPr>
        <w:framePr w:w="9140" w:h="1242" w:hRule="exact" w:hSpace="284" w:wrap="around" w:vAnchor="page" w:hAnchor="page" w:x="1709" w:y="3409" w:anchorLock="1"/>
        <w:widowControl/>
        <w:spacing w:before="357" w:line="280" w:lineRule="exact"/>
        <w:ind w:left="0"/>
        <w:jc w:val="right"/>
        <w:rPr>
          <w:rFonts w:ascii="黑体" w:eastAsia="黑体" w:hAnsi="黑体"/>
          <w:kern w:val="0"/>
          <w:sz w:val="28"/>
          <w:szCs w:val="28"/>
        </w:rPr>
      </w:pPr>
    </w:p>
    <w:p w14:paraId="3A28F7A8" w14:textId="77777777" w:rsidR="00171F3F" w:rsidRDefault="00171F3F">
      <w:pPr>
        <w:framePr w:w="9140" w:h="1242" w:hRule="exact" w:hSpace="284" w:wrap="around" w:vAnchor="page" w:hAnchor="page" w:x="1709" w:y="3409" w:anchorLock="1"/>
        <w:widowControl/>
        <w:spacing w:before="357" w:line="280" w:lineRule="exact"/>
        <w:ind w:left="0"/>
        <w:jc w:val="right"/>
        <w:rPr>
          <w:rFonts w:ascii="黑体" w:eastAsia="黑体" w:hAnsi="黑体"/>
          <w:kern w:val="0"/>
          <w:sz w:val="28"/>
          <w:szCs w:val="28"/>
        </w:rPr>
      </w:pPr>
    </w:p>
    <w:p w14:paraId="50B1AB17" w14:textId="77777777" w:rsidR="00880368" w:rsidRDefault="00880368">
      <w:pPr>
        <w:framePr w:w="9718" w:h="6917" w:hRule="exact" w:wrap="around" w:vAnchor="page" w:hAnchor="page" w:x="1091" w:y="6313" w:anchorLock="1"/>
        <w:spacing w:before="370"/>
        <w:ind w:left="0"/>
        <w:jc w:val="center"/>
        <w:textAlignment w:val="center"/>
        <w:rPr>
          <w:rFonts w:ascii="黑体" w:eastAsia="黑体" w:hAnsi="黑体"/>
          <w:kern w:val="0"/>
          <w:sz w:val="48"/>
          <w:szCs w:val="48"/>
        </w:rPr>
      </w:pPr>
      <w:r w:rsidRPr="00880368">
        <w:rPr>
          <w:rFonts w:ascii="黑体" w:eastAsia="黑体" w:hAnsi="黑体" w:hint="eastAsia"/>
          <w:kern w:val="0"/>
          <w:sz w:val="48"/>
          <w:szCs w:val="48"/>
        </w:rPr>
        <w:t>船体结构用钢</w:t>
      </w:r>
    </w:p>
    <w:p w14:paraId="4AFD8100" w14:textId="77777777" w:rsidR="00171F3F" w:rsidRDefault="00880368">
      <w:pPr>
        <w:framePr w:w="9718" w:h="6917" w:hRule="exact" w:wrap="around" w:vAnchor="page" w:hAnchor="page" w:x="1091" w:y="6313" w:anchorLock="1"/>
        <w:spacing w:before="370"/>
        <w:ind w:left="0"/>
        <w:jc w:val="center"/>
        <w:textAlignment w:val="center"/>
        <w:rPr>
          <w:rFonts w:ascii="黑体" w:eastAsia="黑体" w:hAnsi="黑体"/>
          <w:kern w:val="0"/>
          <w:sz w:val="48"/>
          <w:szCs w:val="48"/>
        </w:rPr>
      </w:pPr>
      <w:r w:rsidRPr="00880368">
        <w:rPr>
          <w:rFonts w:ascii="黑体" w:eastAsia="黑体" w:hAnsi="黑体" w:hint="eastAsia"/>
          <w:kern w:val="0"/>
          <w:sz w:val="48"/>
          <w:szCs w:val="48"/>
        </w:rPr>
        <w:t>激光电弧复合焊接工艺规范</w:t>
      </w:r>
    </w:p>
    <w:p w14:paraId="7A4AA933" w14:textId="77777777" w:rsidR="00171F3F" w:rsidRDefault="00880368">
      <w:pPr>
        <w:framePr w:w="9718" w:h="6917" w:hRule="exact" w:wrap="around" w:vAnchor="page" w:hAnchor="page" w:x="1091" w:y="6313" w:anchorLock="1"/>
        <w:spacing w:before="370"/>
        <w:ind w:left="0"/>
        <w:jc w:val="center"/>
        <w:textAlignment w:val="center"/>
        <w:rPr>
          <w:rFonts w:eastAsia="黑体"/>
          <w:kern w:val="0"/>
          <w:sz w:val="28"/>
          <w:szCs w:val="28"/>
        </w:rPr>
      </w:pPr>
      <w:r>
        <w:rPr>
          <w:rFonts w:eastAsia="黑体" w:hint="eastAsia"/>
          <w:kern w:val="0"/>
          <w:sz w:val="28"/>
          <w:szCs w:val="28"/>
        </w:rPr>
        <w:t>L</w:t>
      </w:r>
      <w:r w:rsidRPr="00880368">
        <w:rPr>
          <w:rFonts w:eastAsia="黑体"/>
          <w:kern w:val="0"/>
          <w:sz w:val="28"/>
          <w:szCs w:val="28"/>
        </w:rPr>
        <w:t>aser arc hybrid welding</w:t>
      </w:r>
      <w:r>
        <w:rPr>
          <w:rFonts w:eastAsia="黑体" w:hint="eastAsia"/>
          <w:kern w:val="0"/>
          <w:sz w:val="28"/>
          <w:szCs w:val="28"/>
        </w:rPr>
        <w:t xml:space="preserve"> p</w:t>
      </w:r>
      <w:r w:rsidRPr="00880368">
        <w:rPr>
          <w:rFonts w:eastAsia="黑体"/>
          <w:kern w:val="0"/>
          <w:sz w:val="28"/>
          <w:szCs w:val="28"/>
        </w:rPr>
        <w:t>rocess specification for of hull structural steel</w:t>
      </w:r>
    </w:p>
    <w:tbl>
      <w:tblPr>
        <w:tblW w:w="9517"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17"/>
      </w:tblGrid>
      <w:tr w:rsidR="00171F3F" w14:paraId="3AD48E95" w14:textId="77777777">
        <w:trPr>
          <w:trHeight w:val="892"/>
        </w:trPr>
        <w:tc>
          <w:tcPr>
            <w:tcW w:w="9517" w:type="dxa"/>
            <w:tcBorders>
              <w:top w:val="nil"/>
              <w:left w:val="nil"/>
              <w:bottom w:val="nil"/>
              <w:right w:val="nil"/>
            </w:tcBorders>
          </w:tcPr>
          <w:p w14:paraId="1D49FF51" w14:textId="77777777" w:rsidR="00171F3F" w:rsidRDefault="00CE3A76">
            <w:pPr>
              <w:framePr w:w="9718" w:h="6917" w:hRule="exact" w:wrap="around" w:vAnchor="page" w:hAnchor="page" w:x="1091" w:y="6313" w:anchorLock="1"/>
              <w:spacing w:before="440" w:after="160"/>
              <w:ind w:left="0"/>
              <w:jc w:val="center"/>
              <w:textAlignment w:val="center"/>
              <w:rPr>
                <w:rFonts w:ascii="宋体"/>
                <w:kern w:val="0"/>
                <w:sz w:val="24"/>
                <w:szCs w:val="28"/>
              </w:rPr>
            </w:pPr>
            <w:r>
              <w:rPr>
                <w:rFonts w:ascii="宋体"/>
                <w:noProof/>
                <w:kern w:val="0"/>
                <w:sz w:val="24"/>
                <w:szCs w:val="28"/>
              </w:rPr>
              <mc:AlternateContent>
                <mc:Choice Requires="wps">
                  <w:drawing>
                    <wp:anchor distT="0" distB="0" distL="114300" distR="114300" simplePos="0" relativeHeight="251661312" behindDoc="1" locked="1" layoutInCell="1" allowOverlap="1" wp14:anchorId="2ED90548" wp14:editId="56AC5DEB">
                      <wp:simplePos x="0" y="0"/>
                      <wp:positionH relativeFrom="column">
                        <wp:posOffset>2200910</wp:posOffset>
                      </wp:positionH>
                      <wp:positionV relativeFrom="paragraph">
                        <wp:posOffset>573405</wp:posOffset>
                      </wp:positionV>
                      <wp:extent cx="1905000" cy="254000"/>
                      <wp:effectExtent l="0" t="0" r="0" b="5080"/>
                      <wp:wrapNone/>
                      <wp:docPr id="28" name="矩形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254000"/>
                              </a:xfrm>
                              <a:prstGeom prst="rect">
                                <a:avLst/>
                              </a:prstGeom>
                              <a:solidFill>
                                <a:srgbClr val="FFFFFF"/>
                              </a:solidFill>
                              <a:ln>
                                <a:noFill/>
                              </a:ln>
                              <a:effectLst/>
                            </wps:spPr>
                            <wps:txbx>
                              <w:txbxContent>
                                <w:p w14:paraId="393CAC9B" w14:textId="77777777" w:rsidR="00CE3A76" w:rsidRDefault="00CE3A76"/>
                              </w:txbxContent>
                            </wps:txbx>
                            <wps:bodyPr rot="0" vert="horz" wrap="square" lIns="91440" tIns="45720" rIns="91440" bIns="45720" anchor="t" anchorCtr="0" upright="1">
                              <a:noAutofit/>
                            </wps:bodyPr>
                          </wps:wsp>
                        </a:graphicData>
                      </a:graphic>
                    </wp:anchor>
                  </w:drawing>
                </mc:Choice>
                <mc:Fallback>
                  <w:pict>
                    <v:rect w14:anchorId="2ED90548" id="矩形 28" o:spid="_x0000_s1027" style="position:absolute;left:0;text-align:left;margin-left:173.3pt;margin-top:45.15pt;width:150pt;height:20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HADgIAAPoDAAAOAAAAZHJzL2Uyb0RvYy54bWysU12O0zAQfkfiDpbfaZKqBTZqulp1VYS0&#10;wEoLB3AcJ7FIPGbsNimXQeKNQ3AcxDUYO223wBvCD5bn75uZb8ar67Hv2F6h02AKns1SzpSRUGnT&#10;FPzD++2zl5w5L0wlOjCq4Afl+PX66ZPVYHM1hxa6SiEjEOPywRa89d7mSeJkq3rhZmCVIWMN2AtP&#10;IjZJhWIg9L5L5mn6PBkAK4sglXOkvZ2MfB3x61pJ/66unfKsKzjV5uON8S7DnaxXIm9Q2FbLYxni&#10;H6rohTaU9Ax1K7xgO9R/QfVaIjio/UxCn0Bda6liD9RNlv7RzUMrrIq9EDnOnmly/w9Wvt3fI9NV&#10;wec0KSN6mtHPL99+fP/KSEHsDNbl5PRg7zH05+wdyI+OGdi0wjTqBhGGVomKasqCf/JbQBAchbJy&#10;eAMVYYudh0jUWGMfAIkCNsZ5HM7zUKNnkpTZVbpMUxqbJNt8uQjvkELkp2iLzr9S0LPwKDjSvCO6&#10;2N85P7meXGL10Olqq7suCtiUmw7ZXtBubOM5ortLt84EZwMhbEKcNCpu1zHNqc+JLz+WY+Q0MhJs&#10;JVQHYgFhWkD6MPRoAT9zNtDyFdx92glUnHWvDTF5lS0WYVujsFi+mJOAl5by0iKMJKiCe86m58ZP&#10;G76zqJuWMmWRFAM3xH6tIzGPVR1nRgsWqT1+hrDBl3L0evyy618AAAD//wMAUEsDBBQABgAIAAAA&#10;IQD0N6/e3AAAAAoBAAAPAAAAZHJzL2Rvd25yZXYueG1sTI/BTsMwDIbvSLxDZCRuLIGOiJWm04S0&#10;E3BgQ+LqNV5b0SRdk27l7fF2gaN/f/r9uVhOrhNHGmIbvIH7mQJBvgq29bWBz+367glETOgtdsGT&#10;gR+KsCyvrwrMbTj5DzpuUi24xMccDTQp9bmUsWrIYZyFnjzv9mFwmHgcamkHPHG56+SDUlo6bD1f&#10;aLCnl4aq783oDKCe28P7Pnvbvo4aF/Wk1o9fypjbm2n1DCLRlP5gOOuzOpTstAujt1F0BrK51owa&#10;WKgMBAP6EuyYzDiRZSH/v1D+AgAA//8DAFBLAQItABQABgAIAAAAIQC2gziS/gAAAOEBAAATAAAA&#10;AAAAAAAAAAAAAAAAAABbQ29udGVudF9UeXBlc10ueG1sUEsBAi0AFAAGAAgAAAAhADj9If/WAAAA&#10;lAEAAAsAAAAAAAAAAAAAAAAALwEAAF9yZWxzLy5yZWxzUEsBAi0AFAAGAAgAAAAhAMBP8cAOAgAA&#10;+gMAAA4AAAAAAAAAAAAAAAAALgIAAGRycy9lMm9Eb2MueG1sUEsBAi0AFAAGAAgAAAAhAPQ3r97c&#10;AAAACgEAAA8AAAAAAAAAAAAAAAAAaAQAAGRycy9kb3ducmV2LnhtbFBLBQYAAAAABAAEAPMAAABx&#10;BQAAAAA=&#10;" stroked="f">
                      <v:textbox>
                        <w:txbxContent>
                          <w:p w14:paraId="393CAC9B" w14:textId="77777777" w:rsidR="00CE3A76" w:rsidRDefault="00CE3A76"/>
                        </w:txbxContent>
                      </v:textbox>
                      <w10:anchorlock/>
                    </v:rect>
                  </w:pict>
                </mc:Fallback>
              </mc:AlternateContent>
            </w:r>
            <w:r>
              <w:rPr>
                <w:rFonts w:ascii="宋体"/>
                <w:noProof/>
                <w:kern w:val="0"/>
                <w:sz w:val="24"/>
                <w:szCs w:val="28"/>
              </w:rPr>
              <mc:AlternateContent>
                <mc:Choice Requires="wps">
                  <w:drawing>
                    <wp:anchor distT="0" distB="0" distL="114300" distR="114300" simplePos="0" relativeHeight="251659264" behindDoc="1" locked="0" layoutInCell="1" allowOverlap="1" wp14:anchorId="2D9BD424" wp14:editId="4E2645C4">
                      <wp:simplePos x="0" y="0"/>
                      <wp:positionH relativeFrom="column">
                        <wp:posOffset>2454910</wp:posOffset>
                      </wp:positionH>
                      <wp:positionV relativeFrom="paragraph">
                        <wp:posOffset>255905</wp:posOffset>
                      </wp:positionV>
                      <wp:extent cx="1270000" cy="304800"/>
                      <wp:effectExtent l="0" t="0" r="10160" b="0"/>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304800"/>
                              </a:xfrm>
                              <a:prstGeom prst="rect">
                                <a:avLst/>
                              </a:prstGeom>
                              <a:solidFill>
                                <a:srgbClr val="FFFFFF"/>
                              </a:solidFill>
                              <a:ln>
                                <a:noFill/>
                              </a:ln>
                              <a:effectLst/>
                            </wps:spPr>
                            <wps:txbx>
                              <w:txbxContent>
                                <w:p w14:paraId="60CD9E99" w14:textId="77777777" w:rsidR="00CE3A76" w:rsidRDefault="00CE3A76"/>
                              </w:txbxContent>
                            </wps:txbx>
                            <wps:bodyPr rot="0" vert="horz" wrap="square" lIns="91440" tIns="45720" rIns="91440" bIns="45720" anchor="t" anchorCtr="0" upright="1">
                              <a:noAutofit/>
                            </wps:bodyPr>
                          </wps:wsp>
                        </a:graphicData>
                      </a:graphic>
                    </wp:anchor>
                  </w:drawing>
                </mc:Choice>
                <mc:Fallback>
                  <w:pict>
                    <v:rect w14:anchorId="2D9BD424" id="矩形 27" o:spid="_x0000_s1028" style="position:absolute;left:0;text-align:left;margin-left:193.3pt;margin-top:20.15pt;width:100pt;height:24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Xo2DgIAAPoDAAAOAAAAZHJzL2Uyb0RvYy54bWysU12O0zAQfkfiDpbfaZJS6BI1Xa26KkJa&#10;YKWFAziOk1gkHjN2m5TLIPHGITgO4hqMnbYUeEP4wfL8fTPzzXh1PfYd2yt0GkzBs1nKmTISKm2a&#10;gr9/t31yxZnzwlSiA6MKflCOX68fP1oNNldzaKGrFDICMS4fbMFb722eJE62qhduBlYZMtaAvfAk&#10;YpNUKAZC77tknqbPkwGwsghSOUfa28nI1xG/rpX0b+vaKc+6glNtPt4Y7zLcyXol8gaFbbU8liH+&#10;oYpeaENJz1C3wgu2Q/0XVK8lgoPazyT0CdS1lir2QN1k6R/dPLTCqtgLkePsmSb3/2Dlm/09Ml0V&#10;fL7kzIieZvTj89fv374wUhA7g3U5OT3Yewz9OXsH8oNjBjatMI26QYShVaKimrLgn/wWEARHoawc&#10;XkNF2GLnIRI11tgHQKKAjXEeh/M81OiZJGU2X6Z0OJNke5ourugdUoj8FG3R+ZcKehYeBUead0QX&#10;+zvnJ9eTS6weOl1tdddFAZty0yHbC9qNbTxHdHfp1pngbCCETYiTRsXtOqY59Tnx5cdynDg9MVhC&#10;dSAWEKYFpA9DjxbwE2cDLV/B3cedQMVZ98oQky+yxSJsaxQWz5ZzEvDSUl5ahJEEVXDP2fTc+GnD&#10;dxZ101KmLJJi4IbYr3UkJlQ8VXWcGS1YpPb4GcIGX8rR69eXXf8EAAD//wMAUEsDBBQABgAIAAAA&#10;IQAiTiWN3QAAAAkBAAAPAAAAZHJzL2Rvd25yZXYueG1sTI/BTsMwDIbvSLxDZCRuLIFuUSlNJ4S0&#10;E3BgQ+LqNV5b0TilSbfy9gQu42j70+/vL9ez68WRxtB5NnC7UCCIa287bgy87zY3OYgQkS32nsnA&#10;NwVYV5cXJRbWn/iNjtvYiBTCoUADbYxDIWWoW3IYFn4gTreDHx3GNI6NtCOeUrjr5Z1SWjrsOH1o&#10;caCnlurP7eQMoF7ar9dD9rJ7njTeN7ParD6UMddX8+MDiEhzPMPwq5/UoUpOez+xDaI3kOVaJ9TA&#10;UmUgErD6W+wN5HkGsirl/wbVDwAAAP//AwBQSwECLQAUAAYACAAAACEAtoM4kv4AAADhAQAAEwAA&#10;AAAAAAAAAAAAAAAAAAAAW0NvbnRlbnRfVHlwZXNdLnhtbFBLAQItABQABgAIAAAAIQA4/SH/1gAA&#10;AJQBAAALAAAAAAAAAAAAAAAAAC8BAABfcmVscy8ucmVsc1BLAQItABQABgAIAAAAIQDaHXo2DgIA&#10;APoDAAAOAAAAAAAAAAAAAAAAAC4CAABkcnMvZTJvRG9jLnhtbFBLAQItABQABgAIAAAAIQAiTiWN&#10;3QAAAAkBAAAPAAAAAAAAAAAAAAAAAGgEAABkcnMvZG93bnJldi54bWxQSwUGAAAAAAQABADzAAAA&#10;cgUAAAAA&#10;" stroked="f">
                      <v:textbox>
                        <w:txbxContent>
                          <w:p w14:paraId="60CD9E99" w14:textId="77777777" w:rsidR="00CE3A76" w:rsidRDefault="00CE3A76"/>
                        </w:txbxContent>
                      </v:textbox>
                    </v:rect>
                  </w:pict>
                </mc:Fallback>
              </mc:AlternateContent>
            </w:r>
          </w:p>
        </w:tc>
      </w:tr>
      <w:tr w:rsidR="00171F3F" w14:paraId="3EEAF811" w14:textId="77777777">
        <w:trPr>
          <w:trHeight w:val="497"/>
        </w:trPr>
        <w:tc>
          <w:tcPr>
            <w:tcW w:w="9517" w:type="dxa"/>
            <w:tcBorders>
              <w:top w:val="nil"/>
              <w:left w:val="nil"/>
              <w:bottom w:val="nil"/>
              <w:right w:val="nil"/>
            </w:tcBorders>
          </w:tcPr>
          <w:p w14:paraId="076EC0E6" w14:textId="77777777" w:rsidR="00171F3F" w:rsidRDefault="00171F3F">
            <w:pPr>
              <w:framePr w:w="9718" w:h="6917" w:hRule="exact" w:wrap="around" w:vAnchor="page" w:hAnchor="page" w:x="1091" w:y="6313" w:anchorLock="1"/>
              <w:spacing w:before="180" w:after="160" w:line="180" w:lineRule="exact"/>
              <w:ind w:left="0"/>
              <w:jc w:val="center"/>
              <w:textAlignment w:val="center"/>
              <w:rPr>
                <w:rFonts w:ascii="宋体"/>
                <w:kern w:val="0"/>
                <w:szCs w:val="28"/>
              </w:rPr>
            </w:pPr>
          </w:p>
        </w:tc>
      </w:tr>
    </w:tbl>
    <w:p w14:paraId="573B8D13" w14:textId="53BC0868" w:rsidR="00171F3F" w:rsidRDefault="00CE3A76">
      <w:pPr>
        <w:framePr w:w="3997" w:h="471" w:hRule="exact" w:vSpace="181" w:wrap="around" w:vAnchor="page" w:hAnchor="page" w:x="1419" w:y="14097" w:anchorLock="1"/>
        <w:widowControl/>
        <w:ind w:left="0"/>
        <w:jc w:val="left"/>
        <w:rPr>
          <w:rFonts w:eastAsia="黑体"/>
          <w:kern w:val="0"/>
          <w:sz w:val="28"/>
          <w:szCs w:val="20"/>
        </w:rPr>
      </w:pPr>
      <w:r>
        <w:rPr>
          <w:rFonts w:ascii="黑体" w:eastAsia="黑体" w:hint="eastAsia"/>
          <w:kern w:val="0"/>
          <w:sz w:val="28"/>
          <w:szCs w:val="20"/>
        </w:rPr>
        <w:t>202</w:t>
      </w:r>
      <w:r w:rsidR="00880368">
        <w:rPr>
          <w:rFonts w:ascii="黑体" w:eastAsia="黑体" w:hint="eastAsia"/>
          <w:kern w:val="0"/>
          <w:sz w:val="28"/>
          <w:szCs w:val="20"/>
        </w:rPr>
        <w:t>2</w:t>
      </w:r>
      <w:r>
        <w:rPr>
          <w:rFonts w:eastAsia="黑体"/>
          <w:kern w:val="0"/>
          <w:sz w:val="28"/>
          <w:szCs w:val="20"/>
        </w:rPr>
        <w:t xml:space="preserve"> </w:t>
      </w:r>
      <w:r>
        <w:rPr>
          <w:rFonts w:ascii="黑体" w:eastAsia="黑体"/>
          <w:kern w:val="0"/>
          <w:sz w:val="28"/>
          <w:szCs w:val="20"/>
        </w:rPr>
        <w:t>-</w:t>
      </w:r>
      <w:r>
        <w:rPr>
          <w:rFonts w:eastAsia="黑体"/>
          <w:kern w:val="0"/>
          <w:sz w:val="28"/>
          <w:szCs w:val="20"/>
        </w:rPr>
        <w:t xml:space="preserve"> </w:t>
      </w:r>
      <w:r w:rsidR="004E4192">
        <w:rPr>
          <w:rFonts w:eastAsia="黑体" w:hint="eastAsia"/>
          <w:kern w:val="0"/>
          <w:sz w:val="28"/>
          <w:szCs w:val="20"/>
        </w:rPr>
        <w:t>XX</w:t>
      </w:r>
      <w:r>
        <w:rPr>
          <w:rFonts w:eastAsia="黑体"/>
          <w:kern w:val="0"/>
          <w:sz w:val="28"/>
          <w:szCs w:val="20"/>
        </w:rPr>
        <w:t xml:space="preserve"> </w:t>
      </w:r>
      <w:r>
        <w:rPr>
          <w:rFonts w:ascii="黑体" w:eastAsia="黑体"/>
          <w:kern w:val="0"/>
          <w:sz w:val="28"/>
          <w:szCs w:val="20"/>
        </w:rPr>
        <w:t>-</w:t>
      </w:r>
      <w:r>
        <w:rPr>
          <w:rFonts w:eastAsia="黑体"/>
          <w:kern w:val="0"/>
          <w:sz w:val="28"/>
          <w:szCs w:val="20"/>
        </w:rPr>
        <w:t xml:space="preserve"> </w:t>
      </w:r>
      <w:r w:rsidR="004E4192">
        <w:rPr>
          <w:rFonts w:eastAsia="黑体" w:hint="eastAsia"/>
          <w:kern w:val="0"/>
          <w:sz w:val="28"/>
          <w:szCs w:val="20"/>
        </w:rPr>
        <w:t>XX</w:t>
      </w:r>
      <w:r>
        <w:rPr>
          <w:rFonts w:eastAsia="黑体" w:hint="eastAsia"/>
          <w:kern w:val="0"/>
          <w:sz w:val="28"/>
          <w:szCs w:val="20"/>
        </w:rPr>
        <w:t>发布</w:t>
      </w:r>
      <w:r>
        <w:rPr>
          <w:rFonts w:eastAsia="黑体"/>
          <w:noProof/>
          <w:kern w:val="0"/>
          <w:sz w:val="28"/>
          <w:szCs w:val="20"/>
        </w:rPr>
        <mc:AlternateContent>
          <mc:Choice Requires="wps">
            <w:drawing>
              <wp:anchor distT="0" distB="0" distL="114300" distR="114300" simplePos="0" relativeHeight="251663360" behindDoc="0" locked="1" layoutInCell="1" allowOverlap="1" wp14:anchorId="2D4F3E21" wp14:editId="540F4E3B">
                <wp:simplePos x="0" y="0"/>
                <wp:positionH relativeFrom="column">
                  <wp:posOffset>0</wp:posOffset>
                </wp:positionH>
                <wp:positionV relativeFrom="page">
                  <wp:posOffset>9251950</wp:posOffset>
                </wp:positionV>
                <wp:extent cx="6120130" cy="0"/>
                <wp:effectExtent l="0" t="0" r="0" b="0"/>
                <wp:wrapNone/>
                <wp:docPr id="26" name="直接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a:effectLst/>
                      </wps:spPr>
                      <wps:bodyPr/>
                    </wps:wsp>
                  </a:graphicData>
                </a:graphic>
              </wp:anchor>
            </w:drawing>
          </mc:Choice>
          <mc:Fallback>
            <w:pict>
              <v:line w14:anchorId="07D4F7D0" id="直接连接符 26" o:spid="_x0000_s1026"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page" from="0,728.5pt" to="481.9pt,7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Xs1AEAAGwDAAAOAAAAZHJzL2Uyb0RvYy54bWysU8GO0zAQvSPxD5bvNG3RVhA13UNXy2WB&#10;Srt8wNR2EgvHY9luk/4EP4DEDU4cufM3u3wGY7cpC9wQOYxiz8ybeW/Gy8uhM2yvfNBoKz6bTDlT&#10;VqDUtqn4u7vrZy84CxGsBINWVfygAr9cPX2y7F2p5tiikcozArGh7F3F2xhdWRRBtKqDMEGnLDlr&#10;9B1EOvqmkB56Qu9MMZ9OF0WPXjqPQoVAt1dHJ19l/LpWIr6t66AiMxWn3mK2PtttssVqCWXjwbVa&#10;nNqAf+iiA22p6BnqCiKwndd/QXVaeAxYx4nArsC61kJlDsRmNv2DzW0LTmUuJE5wZ5nC/4MVb/Yb&#10;z7Ss+HzBmYWOZvTw8dv9h88/vn8i+/D1CyMPydS7UFL02m58IioGe+tuULwPzOK6Bduo3O7dwRHE&#10;LGUUv6WkQ3BUbNu/RkkxsIuYNRtq3yVIUoMNeTSH82jUEJmgy8WM9HlOExSjr4ByTHQ+xFcKO5Z+&#10;Km60TapBCfubEFMjUI4h6dritTYmT95Y1lf85cX8IicENFomZwoLvtmujWd7SLuTv8yKPI/DPO6s&#10;PBYxNuWpvHanyiPro35blIeNH6WhkebeTuuXdubxOQv465GsfgIAAP//AwBQSwMEFAAGAAgAAAAh&#10;AMxTAivcAAAACgEAAA8AAABkcnMvZG93bnJldi54bWxMj0FPwzAMhe9I/IfISFwmlrLBgNJ0QrDe&#10;dmGAuHqNaSsap2uyrePX4x0muNnvWc/fy+aDa9WO+tB4NnA9TkARl942XBl4fyuu7kGFiGyx9UwG&#10;DhRgnp+fZZhav+dX2q1ipSSEQ4oG6hi7VOtQ1uQwjH1HLN6X7x1GWftK2x73Eu5aPUmSmXbYsHyo&#10;saPnmsrv1dYZCMUHbYqfUTlKPqeVp8nmZblAYy4vhqdHUJGG+HcMR3xBh1yY1n7LNqjWgBSJot7c&#10;3skk/sNsKlXWJ0nnmf5fIf8FAAD//wMAUEsBAi0AFAAGAAgAAAAhALaDOJL+AAAA4QEAABMAAAAA&#10;AAAAAAAAAAAAAAAAAFtDb250ZW50X1R5cGVzXS54bWxQSwECLQAUAAYACAAAACEAOP0h/9YAAACU&#10;AQAACwAAAAAAAAAAAAAAAAAvAQAAX3JlbHMvLnJlbHNQSwECLQAUAAYACAAAACEAilk17NQBAABs&#10;AwAADgAAAAAAAAAAAAAAAAAuAgAAZHJzL2Uyb0RvYy54bWxQSwECLQAUAAYACAAAACEAzFMCK9wA&#10;AAAKAQAADwAAAAAAAAAAAAAAAAAuBAAAZHJzL2Rvd25yZXYueG1sUEsFBgAAAAAEAAQA8wAAADcF&#10;AAAAAA==&#10;">
                <w10:wrap anchory="page"/>
                <w10:anchorlock/>
              </v:line>
            </w:pict>
          </mc:Fallback>
        </mc:AlternateContent>
      </w:r>
    </w:p>
    <w:p w14:paraId="229FF722" w14:textId="151925DF" w:rsidR="00171F3F" w:rsidRDefault="00CE3A76">
      <w:pPr>
        <w:framePr w:w="3997" w:h="471" w:hRule="exact" w:vSpace="181" w:wrap="around" w:vAnchor="page" w:hAnchor="page" w:x="7089" w:y="14097"/>
        <w:widowControl/>
        <w:ind w:left="0"/>
        <w:jc w:val="right"/>
        <w:rPr>
          <w:rFonts w:eastAsia="黑体"/>
          <w:kern w:val="0"/>
          <w:sz w:val="28"/>
          <w:szCs w:val="20"/>
        </w:rPr>
      </w:pPr>
      <w:r>
        <w:rPr>
          <w:rFonts w:ascii="黑体" w:eastAsia="黑体" w:hint="eastAsia"/>
          <w:kern w:val="0"/>
          <w:sz w:val="28"/>
          <w:szCs w:val="20"/>
        </w:rPr>
        <w:t>202</w:t>
      </w:r>
      <w:r w:rsidR="00880368">
        <w:rPr>
          <w:rFonts w:ascii="黑体" w:eastAsia="黑体" w:hint="eastAsia"/>
          <w:kern w:val="0"/>
          <w:sz w:val="28"/>
          <w:szCs w:val="20"/>
        </w:rPr>
        <w:t>3</w:t>
      </w:r>
      <w:r>
        <w:rPr>
          <w:rFonts w:ascii="黑体" w:eastAsia="黑体"/>
          <w:kern w:val="0"/>
          <w:sz w:val="28"/>
          <w:szCs w:val="20"/>
        </w:rPr>
        <w:t>-</w:t>
      </w:r>
      <w:r>
        <w:rPr>
          <w:rFonts w:eastAsia="黑体"/>
          <w:kern w:val="0"/>
          <w:sz w:val="28"/>
          <w:szCs w:val="20"/>
        </w:rPr>
        <w:t xml:space="preserve"> </w:t>
      </w:r>
      <w:r w:rsidR="004E4192">
        <w:rPr>
          <w:rFonts w:eastAsia="黑体" w:hint="eastAsia"/>
          <w:kern w:val="0"/>
          <w:sz w:val="28"/>
          <w:szCs w:val="20"/>
        </w:rPr>
        <w:t>XX</w:t>
      </w:r>
      <w:r>
        <w:rPr>
          <w:rFonts w:eastAsia="黑体"/>
          <w:kern w:val="0"/>
          <w:sz w:val="28"/>
          <w:szCs w:val="20"/>
        </w:rPr>
        <w:t xml:space="preserve"> </w:t>
      </w:r>
      <w:r>
        <w:rPr>
          <w:rFonts w:ascii="黑体" w:eastAsia="黑体"/>
          <w:kern w:val="0"/>
          <w:sz w:val="28"/>
          <w:szCs w:val="20"/>
        </w:rPr>
        <w:t>-</w:t>
      </w:r>
      <w:r>
        <w:rPr>
          <w:rFonts w:eastAsia="黑体"/>
          <w:kern w:val="0"/>
          <w:sz w:val="28"/>
          <w:szCs w:val="20"/>
        </w:rPr>
        <w:t xml:space="preserve"> </w:t>
      </w:r>
      <w:r w:rsidR="004E4192">
        <w:rPr>
          <w:rFonts w:eastAsia="黑体" w:hint="eastAsia"/>
          <w:kern w:val="0"/>
          <w:sz w:val="28"/>
          <w:szCs w:val="20"/>
        </w:rPr>
        <w:t>XX</w:t>
      </w:r>
      <w:r>
        <w:rPr>
          <w:rFonts w:eastAsia="黑体" w:hint="eastAsia"/>
          <w:kern w:val="0"/>
          <w:sz w:val="28"/>
          <w:szCs w:val="20"/>
        </w:rPr>
        <w:t>实施</w:t>
      </w:r>
    </w:p>
    <w:p w14:paraId="6DD89609" w14:textId="77777777" w:rsidR="00171F3F" w:rsidRDefault="00CE3A76">
      <w:pPr>
        <w:pStyle w:val="affffff8"/>
        <w:framePr w:wrap="around" w:x="1907" w:y="14590"/>
        <w:rPr>
          <w:rFonts w:ascii="黑体" w:eastAsia="黑体" w:hAnsi="黑体"/>
          <w:b w:val="0"/>
          <w:w w:val="100"/>
        </w:rPr>
      </w:pPr>
      <w:bookmarkStart w:id="3" w:name="_Hlk37324971"/>
      <w:r>
        <w:rPr>
          <w:rFonts w:ascii="黑体" w:eastAsia="黑体" w:hAnsi="黑体" w:hint="eastAsia"/>
          <w:b w:val="0"/>
          <w:w w:val="100"/>
        </w:rPr>
        <w:t>中国金属学会 发布</w:t>
      </w:r>
      <w:bookmarkEnd w:id="3"/>
    </w:p>
    <w:p w14:paraId="2900CA70" w14:textId="77777777" w:rsidR="00171F3F" w:rsidRDefault="00CE3A76">
      <w:pPr>
        <w:ind w:left="0"/>
        <w:rPr>
          <w:rFonts w:ascii="黑体" w:eastAsia="黑体" w:hAnsi="黑体"/>
          <w:color w:val="000000"/>
        </w:rPr>
      </w:pPr>
      <w:r>
        <w:rPr>
          <w:rFonts w:eastAsia="黑体"/>
          <w:color w:val="000000"/>
        </w:rPr>
        <w:t>ICS 77</w:t>
      </w:r>
      <w:r>
        <w:rPr>
          <w:rFonts w:ascii="黑体" w:eastAsia="黑体" w:hAnsi="黑体" w:hint="eastAsia"/>
          <w:color w:val="000000"/>
        </w:rPr>
        <w:t>.180</w:t>
      </w:r>
    </w:p>
    <w:p w14:paraId="1E62E535" w14:textId="77777777" w:rsidR="00171F3F" w:rsidRDefault="00CE3A76">
      <w:pPr>
        <w:ind w:left="0"/>
        <w:rPr>
          <w:rFonts w:ascii="黑体" w:eastAsia="黑体" w:hAnsi="黑体"/>
          <w:color w:val="000000"/>
        </w:rPr>
      </w:pPr>
      <w:r>
        <w:rPr>
          <w:rFonts w:ascii="黑体" w:eastAsia="黑体" w:hAnsi="黑体" w:hint="eastAsia"/>
          <w:color w:val="000000"/>
        </w:rPr>
        <w:t>CCS H 40</w:t>
      </w:r>
    </w:p>
    <w:p w14:paraId="52FFF6C6" w14:textId="77777777" w:rsidR="00171F3F" w:rsidRDefault="00CE3A76">
      <w:pPr>
        <w:pStyle w:val="afff2"/>
        <w:shd w:val="clear" w:color="auto" w:fill="C0C0C0"/>
        <w:ind w:left="0" w:firstLineChars="0" w:firstLine="0"/>
        <w:rPr>
          <w:rFonts w:ascii="Times New Roman"/>
        </w:rPr>
        <w:sectPr w:rsidR="00171F3F">
          <w:headerReference w:type="even" r:id="rId9"/>
          <w:footerReference w:type="even" r:id="rId10"/>
          <w:pgSz w:w="11906" w:h="16838"/>
          <w:pgMar w:top="567" w:right="850" w:bottom="1134" w:left="1418" w:header="0" w:footer="0" w:gutter="0"/>
          <w:pgNumType w:start="1"/>
          <w:cols w:space="720"/>
          <w:docGrid w:type="lines" w:linePitch="312"/>
        </w:sectPr>
      </w:pPr>
      <w:r>
        <w:rPr>
          <w:rFonts w:ascii="黑体" w:eastAsia="黑体" w:hAnsi="黑体"/>
          <w:b/>
          <w:noProof/>
          <w:kern w:val="2"/>
          <w:szCs w:val="24"/>
        </w:rPr>
        <mc:AlternateContent>
          <mc:Choice Requires="wps">
            <w:drawing>
              <wp:anchor distT="0" distB="0" distL="114300" distR="114300" simplePos="0" relativeHeight="251665408" behindDoc="0" locked="0" layoutInCell="1" allowOverlap="1" wp14:anchorId="6A3909E5" wp14:editId="293D7594">
                <wp:simplePos x="0" y="0"/>
                <wp:positionH relativeFrom="column">
                  <wp:posOffset>24765</wp:posOffset>
                </wp:positionH>
                <wp:positionV relativeFrom="paragraph">
                  <wp:posOffset>2343150</wp:posOffset>
                </wp:positionV>
                <wp:extent cx="6120130" cy="0"/>
                <wp:effectExtent l="0" t="0" r="0" b="0"/>
                <wp:wrapNone/>
                <wp:docPr id="32" name="直接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a:effectLst/>
                      </wps:spPr>
                      <wps:bodyPr/>
                    </wps:wsp>
                  </a:graphicData>
                </a:graphic>
              </wp:anchor>
            </w:drawing>
          </mc:Choice>
          <mc:Fallback>
            <w:pict>
              <v:line w14:anchorId="39017CAA" id="直接连接符 32" o:spid="_x0000_s1026"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1.95pt,184.5pt" to="483.8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9R11QEAAGwDAAAOAAAAZHJzL2Uyb0RvYy54bWysU8FuEzEQvSPxD5bvZJNUrWCVTQ+pyqVA&#10;pJYPmNjeXQuvx7Kd7OYn+AEkbnDiyJ2/oXwGYycbSntD7GG09sy8mfdmvLgcOsN2ygeNtuKzyZQz&#10;ZQVKbZuKv7+7fvGSsxDBSjBoVcX3KvDL5fNni96Vao4tGqk8IxAbyt5VvI3RlUURRKs6CBN0ypKz&#10;Rt9BpKNvCumhJ/TOFPPp9KLo0UvnUagQ6Pbq4OTLjF/XSsR3dR1UZKbi1FvM1me7SbZYLqBsPLhW&#10;i2Mb8A9ddKAtFT1BXUEEtvX6CVSnhceAdZwI7Aqsay1U5kBsZtNHbG5bcCpzIXGCO8kU/h+seLtb&#10;e6Zlxc/mnFnoaEb3n77//Pjl14/PZO+/fWXkIZl6F0qKXtm1T0TFYG/dDYoPgVlctWAbldu92zuC&#10;mKWM4q+UdAiOim36NygpBrYRs2ZD7bsESWqwIY9mfxqNGiITdHkxI33OaIJi9BVQjonOh/haYcfS&#10;T8WNtkk1KGF3E2JqBMoxJF1bvNbG5Mkby/qKvzqfn+eEgEbL5ExhwTeblfFsB2l38pdZkedhmMet&#10;lYcixqY8ldfuWHlkfdBvg3K/9qM0NNLc23H90s48PGcB/zyS5W8AAAD//wMAUEsDBBQABgAIAAAA&#10;IQC2lSJg3QAAAAkBAAAPAAAAZHJzL2Rvd25yZXYueG1sTI9BS8NAEIXvgv9hGcFLsRtbSE3Mpoia&#10;mxer4nWaHZNgdjbNbtvor3eEgp6Gmfd4871iPbleHWgMnWcD1/MEFHHtbceNgdeX6uoGVIjIFnvP&#10;ZOCLAqzL87MCc+uP/EyHTWyUhHDI0UAb45BrHeqWHIa5H4hF+/Cjwyjr2Gg74lHCXa8XSZJqhx3L&#10;hxYHum+p/tzsnYFQvdGu+p7Vs+R92Xha7B6eHtGYy4vp7hZUpCn+meEXX9ChFKat37MNqjewzMQo&#10;I82kkuhZulqB2p4uuiz0/wblDwAAAP//AwBQSwECLQAUAAYACAAAACEAtoM4kv4AAADhAQAAEwAA&#10;AAAAAAAAAAAAAAAAAAAAW0NvbnRlbnRfVHlwZXNdLnhtbFBLAQItABQABgAIAAAAIQA4/SH/1gAA&#10;AJQBAAALAAAAAAAAAAAAAAAAAC8BAABfcmVscy8ucmVsc1BLAQItABQABgAIAAAAIQDbw9R11QEA&#10;AGwDAAAOAAAAAAAAAAAAAAAAAC4CAABkcnMvZTJvRG9jLnhtbFBLAQItABQABgAIAAAAIQC2lSJg&#10;3QAAAAkBAAAPAAAAAAAAAAAAAAAAAC8EAABkcnMvZG93bnJldi54bWxQSwUGAAAAAAQABADzAAAA&#10;OQUAAAAA&#10;"/>
            </w:pict>
          </mc:Fallback>
        </mc:AlternateContent>
      </w:r>
      <w:r>
        <w:rPr>
          <w:rFonts w:ascii="黑体" w:eastAsia="黑体" w:hAnsi="黑体"/>
          <w:b/>
          <w:noProof/>
          <w:kern w:val="2"/>
          <w:szCs w:val="24"/>
        </w:rPr>
        <mc:AlternateContent>
          <mc:Choice Requires="wps">
            <w:drawing>
              <wp:anchor distT="0" distB="0" distL="114300" distR="114300" simplePos="0" relativeHeight="251664384" behindDoc="0" locked="1" layoutInCell="1" allowOverlap="1" wp14:anchorId="35D46B02" wp14:editId="311A0711">
                <wp:simplePos x="0" y="0"/>
                <wp:positionH relativeFrom="column">
                  <wp:posOffset>0</wp:posOffset>
                </wp:positionH>
                <wp:positionV relativeFrom="page">
                  <wp:posOffset>9258935</wp:posOffset>
                </wp:positionV>
                <wp:extent cx="6120130" cy="0"/>
                <wp:effectExtent l="0" t="0" r="0" b="0"/>
                <wp:wrapNone/>
                <wp:docPr id="31" name="直接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a:effectLst/>
                      </wps:spPr>
                      <wps:bodyPr/>
                    </wps:wsp>
                  </a:graphicData>
                </a:graphic>
              </wp:anchor>
            </w:drawing>
          </mc:Choice>
          <mc:Fallback>
            <w:pict>
              <v:line w14:anchorId="01CA76F7" id="直接连接符 31"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page" from="0,729.05pt" to="481.9pt,7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2r51AEAAGwDAAAOAAAAZHJzL2Uyb0RvYy54bWysU81uEzEQviPxDpbvZJNUrWCVTQ+pyqVA&#10;pJYHcGxv1sL2WB4nu3kJXgCJG5w4cudtKI/B2PmBtjfEHkbrmW8+z3wznl0OzrKtjmjAN3wyGnOm&#10;vQRl/Lrh7++uX7zkDJPwSljwuuE7jfxy/vzZrA+1nkIHVunIiMRj3YeGdymFuqpQdtoJHEHQnoIt&#10;RCcSHeO6UlH0xO5sNR2PL6oeogoRpEYk79U+yOeFv221TO/aFnVituFUWyo2FrvKtprPRL2OInRG&#10;HsoQ/1CFE8bTpSeqK5EE20TzhMoZGQGhTSMJroK2NVKXHqibyfhRN7edCLr0QuJgOMmE/49Wvt0u&#10;IzOq4WcTzrxwNKP7T99/fvzy68dnsvffvjKKkEx9wJrQC7+MuVE5+NtwA/IDMg+LTvi1LuXe7QJR&#10;lIzqQUo+YKDLVv0bUIQRmwRFs6GNLlOSGmwoo9mdRqOHxCQ5LyakzxlNUB5jlaiPiSFieq3BsfzT&#10;cGt8Vk3UYnuDiUon6BGS3R6ujbVl8tazvuGvzqfnJQHBGpWDGYZxvVrYyLYi7075sg5E9gAWYePV&#10;3m99ztNl7Q43H7ve67cCtVvGDM5+GmmhO6xf3pm/zwX155HMfwMAAP//AwBQSwMEFAAGAAgAAAAh&#10;AMI94ibcAAAACgEAAA8AAABkcnMvZG93bnJldi54bWxMj0FPwkAQhe8m/IfNkHghsgWEYO2WGLU3&#10;L4LG69Ad28bubOkuUP31jgejx3nv5c37ss3gWnWiPjSeDcymCSji0tuGKwMvu+JqDSpEZIutZzLw&#10;SQE2+egiw9T6Mz/TaRsrJSUcUjRQx9ilWoeyJodh6jti8d597zDK2Vfa9niWctfqeZKstMOG5UON&#10;Hd3XVH5sj85AKF7pUHxNyknytqg8zQ8PT49ozOV4uLsFFWmIf2H4mS/TIZdNe39kG1RrQECiqNfL&#10;9QyU+DerhaDsfyWdZ/o/Qv4NAAD//wMAUEsBAi0AFAAGAAgAAAAhALaDOJL+AAAA4QEAABMAAAAA&#10;AAAAAAAAAAAAAAAAAFtDb250ZW50X1R5cGVzXS54bWxQSwECLQAUAAYACAAAACEAOP0h/9YAAACU&#10;AQAACwAAAAAAAAAAAAAAAAAvAQAAX3JlbHMvLnJlbHNQSwECLQAUAAYACAAAACEApsdq+dQBAABs&#10;AwAADgAAAAAAAAAAAAAAAAAuAgAAZHJzL2Uyb0RvYy54bWxQSwECLQAUAAYACAAAACEAwj3iJtwA&#10;AAAKAQAADwAAAAAAAAAAAAAAAAAuBAAAZHJzL2Rvd25yZXYueG1sUEsFBgAAAAAEAAQA8wAAADcF&#10;AAAAAA==&#10;">
                <w10:wrap anchory="page"/>
                <w10:anchorlock/>
              </v:line>
            </w:pict>
          </mc:Fallback>
        </mc:AlternateContent>
      </w:r>
      <w:bookmarkEnd w:id="0"/>
    </w:p>
    <w:p w14:paraId="40AADF93" w14:textId="77777777" w:rsidR="00171F3F" w:rsidRDefault="00CE3A76">
      <w:pPr>
        <w:jc w:val="center"/>
        <w:rPr>
          <w:rFonts w:ascii="黑体" w:eastAsia="黑体" w:hAnsi="黑体" w:cs="黑体"/>
          <w:sz w:val="32"/>
          <w:szCs w:val="32"/>
        </w:rPr>
      </w:pPr>
      <w:bookmarkStart w:id="4" w:name="_Toc5928"/>
      <w:bookmarkStart w:id="5" w:name="_Toc19111"/>
      <w:bookmarkStart w:id="6" w:name="_Toc8457"/>
      <w:bookmarkStart w:id="7" w:name="_Toc28533725"/>
      <w:bookmarkStart w:id="8" w:name="_Toc22451355"/>
      <w:bookmarkStart w:id="9" w:name="_Toc519540467"/>
      <w:bookmarkStart w:id="10" w:name="_Toc519540533"/>
      <w:bookmarkStart w:id="11" w:name="_Toc520052956"/>
      <w:bookmarkStart w:id="12" w:name="_Toc520052897"/>
      <w:bookmarkStart w:id="13" w:name="_Toc531637964"/>
      <w:bookmarkStart w:id="14" w:name="_Toc531637999"/>
      <w:bookmarkStart w:id="15" w:name="_Toc519233757"/>
      <w:r>
        <w:rPr>
          <w:rFonts w:ascii="黑体" w:eastAsia="黑体" w:hAnsi="黑体" w:cs="黑体" w:hint="eastAsia"/>
          <w:sz w:val="32"/>
          <w:szCs w:val="32"/>
        </w:rPr>
        <w:lastRenderedPageBreak/>
        <w:t>目</w:t>
      </w:r>
      <w:bookmarkStart w:id="16" w:name="BKML"/>
      <w:r>
        <w:rPr>
          <w:rFonts w:ascii="黑体" w:eastAsia="黑体" w:hAnsi="黑体" w:cs="黑体" w:hint="eastAsia"/>
          <w:sz w:val="32"/>
          <w:szCs w:val="32"/>
        </w:rPr>
        <w:t>  次</w:t>
      </w:r>
      <w:bookmarkEnd w:id="4"/>
      <w:bookmarkEnd w:id="5"/>
      <w:bookmarkEnd w:id="6"/>
      <w:bookmarkEnd w:id="7"/>
      <w:bookmarkEnd w:id="16"/>
    </w:p>
    <w:p w14:paraId="764FD57A" w14:textId="77777777" w:rsidR="00171F3F" w:rsidRDefault="00171F3F">
      <w:pPr>
        <w:ind w:left="0"/>
        <w:jc w:val="center"/>
      </w:pPr>
    </w:p>
    <w:sdt>
      <w:sdtPr>
        <w:rPr>
          <w:rFonts w:ascii="宋体" w:hAnsi="宋体"/>
        </w:rPr>
        <w:id w:val="147453800"/>
        <w:docPartObj>
          <w:docPartGallery w:val="Table of Contents"/>
          <w:docPartUnique/>
        </w:docPartObj>
      </w:sdtPr>
      <w:sdtEndPr>
        <w:rPr>
          <w:rFonts w:ascii="Times New Roman" w:hAnsi="Times New Roman"/>
        </w:rPr>
      </w:sdtEndPr>
      <w:sdtContent>
        <w:p w14:paraId="6FBDA9AB" w14:textId="77777777" w:rsidR="00171F3F" w:rsidRDefault="00171F3F">
          <w:pPr>
            <w:ind w:left="0"/>
            <w:jc w:val="center"/>
          </w:pPr>
        </w:p>
        <w:p w14:paraId="5A230B2B" w14:textId="77777777" w:rsidR="00CE3A76" w:rsidRDefault="00CE3A76" w:rsidP="00CE3A76">
          <w:pPr>
            <w:pStyle w:val="11"/>
            <w:spacing w:before="78" w:after="78"/>
            <w:rPr>
              <w:rFonts w:asciiTheme="minorHAnsi" w:eastAsiaTheme="minorEastAsia" w:hAnsiTheme="minorHAnsi" w:cstheme="minorBidi"/>
              <w:noProof/>
              <w:szCs w:val="22"/>
            </w:rPr>
          </w:pPr>
          <w:r>
            <w:fldChar w:fldCharType="begin"/>
          </w:r>
          <w:r>
            <w:instrText xml:space="preserve">TOC \o "1-1" \h \u </w:instrText>
          </w:r>
          <w:r>
            <w:fldChar w:fldCharType="separate"/>
          </w:r>
          <w:hyperlink w:anchor="_Toc111304445" w:history="1">
            <w:r w:rsidRPr="00011B7D">
              <w:rPr>
                <w:rStyle w:val="afffa"/>
                <w:rFonts w:ascii="黑体" w:eastAsia="黑体" w:hint="eastAsia"/>
                <w:noProof/>
              </w:rPr>
              <w:t>前</w:t>
            </w:r>
            <w:r w:rsidRPr="00011B7D">
              <w:rPr>
                <w:rStyle w:val="afffa"/>
                <w:rFonts w:ascii="黑体" w:eastAsia="黑体"/>
                <w:noProof/>
              </w:rPr>
              <w:t>  </w:t>
            </w:r>
            <w:r w:rsidRPr="00011B7D">
              <w:rPr>
                <w:rStyle w:val="afffa"/>
                <w:rFonts w:ascii="黑体" w:eastAsia="黑体" w:hint="eastAsia"/>
                <w:noProof/>
              </w:rPr>
              <w:t>言</w:t>
            </w:r>
            <w:r>
              <w:rPr>
                <w:noProof/>
              </w:rPr>
              <w:tab/>
            </w:r>
            <w:r>
              <w:rPr>
                <w:noProof/>
              </w:rPr>
              <w:fldChar w:fldCharType="begin"/>
            </w:r>
            <w:r>
              <w:rPr>
                <w:noProof/>
              </w:rPr>
              <w:instrText xml:space="preserve"> PAGEREF _Toc111304445 \h </w:instrText>
            </w:r>
            <w:r>
              <w:rPr>
                <w:noProof/>
              </w:rPr>
            </w:r>
            <w:r>
              <w:rPr>
                <w:noProof/>
              </w:rPr>
              <w:fldChar w:fldCharType="separate"/>
            </w:r>
            <w:r>
              <w:rPr>
                <w:noProof/>
              </w:rPr>
              <w:t>II</w:t>
            </w:r>
            <w:r>
              <w:rPr>
                <w:noProof/>
              </w:rPr>
              <w:fldChar w:fldCharType="end"/>
            </w:r>
          </w:hyperlink>
        </w:p>
        <w:p w14:paraId="0D7048D1" w14:textId="77777777" w:rsidR="00CE3A76" w:rsidRDefault="00424F0D" w:rsidP="00CE3A76">
          <w:pPr>
            <w:pStyle w:val="11"/>
            <w:tabs>
              <w:tab w:val="left" w:pos="1470"/>
            </w:tabs>
            <w:spacing w:before="78" w:after="78"/>
            <w:rPr>
              <w:rFonts w:asciiTheme="minorHAnsi" w:eastAsiaTheme="minorEastAsia" w:hAnsiTheme="minorHAnsi" w:cstheme="minorBidi"/>
              <w:noProof/>
              <w:szCs w:val="22"/>
            </w:rPr>
          </w:pPr>
          <w:hyperlink w:anchor="_Toc111304446" w:history="1">
            <w:r w:rsidR="00CE3A76" w:rsidRPr="00011B7D">
              <w:rPr>
                <w:rStyle w:val="afffa"/>
                <w:noProof/>
              </w:rPr>
              <w:t>1</w:t>
            </w:r>
            <w:r w:rsidR="00CE3A76">
              <w:rPr>
                <w:rFonts w:asciiTheme="minorHAnsi" w:eastAsiaTheme="minorEastAsia" w:hAnsiTheme="minorHAnsi" w:cstheme="minorBidi"/>
                <w:noProof/>
                <w:szCs w:val="22"/>
              </w:rPr>
              <w:tab/>
            </w:r>
            <w:r w:rsidR="00CE3A76" w:rsidRPr="00011B7D">
              <w:rPr>
                <w:rStyle w:val="afffa"/>
                <w:rFonts w:hint="eastAsia"/>
                <w:noProof/>
              </w:rPr>
              <w:t>范围</w:t>
            </w:r>
            <w:r w:rsidR="00CE3A76">
              <w:rPr>
                <w:noProof/>
              </w:rPr>
              <w:tab/>
            </w:r>
            <w:r w:rsidR="00CE3A76">
              <w:rPr>
                <w:noProof/>
              </w:rPr>
              <w:fldChar w:fldCharType="begin"/>
            </w:r>
            <w:r w:rsidR="00CE3A76">
              <w:rPr>
                <w:noProof/>
              </w:rPr>
              <w:instrText xml:space="preserve"> PAGEREF _Toc111304446 \h </w:instrText>
            </w:r>
            <w:r w:rsidR="00CE3A76">
              <w:rPr>
                <w:noProof/>
              </w:rPr>
            </w:r>
            <w:r w:rsidR="00CE3A76">
              <w:rPr>
                <w:noProof/>
              </w:rPr>
              <w:fldChar w:fldCharType="separate"/>
            </w:r>
            <w:r w:rsidR="00CE3A76">
              <w:rPr>
                <w:noProof/>
              </w:rPr>
              <w:t>1</w:t>
            </w:r>
            <w:r w:rsidR="00CE3A76">
              <w:rPr>
                <w:noProof/>
              </w:rPr>
              <w:fldChar w:fldCharType="end"/>
            </w:r>
          </w:hyperlink>
        </w:p>
        <w:p w14:paraId="27A62563" w14:textId="77777777" w:rsidR="00CE3A76" w:rsidRDefault="00424F0D" w:rsidP="00CE3A76">
          <w:pPr>
            <w:pStyle w:val="11"/>
            <w:tabs>
              <w:tab w:val="left" w:pos="1470"/>
            </w:tabs>
            <w:spacing w:before="78" w:after="78"/>
            <w:rPr>
              <w:rFonts w:asciiTheme="minorHAnsi" w:eastAsiaTheme="minorEastAsia" w:hAnsiTheme="minorHAnsi" w:cstheme="minorBidi"/>
              <w:noProof/>
              <w:szCs w:val="22"/>
            </w:rPr>
          </w:pPr>
          <w:hyperlink w:anchor="_Toc111304447" w:history="1">
            <w:r w:rsidR="00CE3A76" w:rsidRPr="00011B7D">
              <w:rPr>
                <w:rStyle w:val="afffa"/>
                <w:noProof/>
              </w:rPr>
              <w:t>2</w:t>
            </w:r>
            <w:r w:rsidR="00CE3A76">
              <w:rPr>
                <w:rFonts w:asciiTheme="minorHAnsi" w:eastAsiaTheme="minorEastAsia" w:hAnsiTheme="minorHAnsi" w:cstheme="minorBidi"/>
                <w:noProof/>
                <w:szCs w:val="22"/>
              </w:rPr>
              <w:tab/>
            </w:r>
            <w:r w:rsidR="00CE3A76" w:rsidRPr="00011B7D">
              <w:rPr>
                <w:rStyle w:val="afffa"/>
                <w:rFonts w:hint="eastAsia"/>
                <w:noProof/>
              </w:rPr>
              <w:t>规范性引用文件</w:t>
            </w:r>
            <w:r w:rsidR="00CE3A76">
              <w:rPr>
                <w:noProof/>
              </w:rPr>
              <w:tab/>
            </w:r>
            <w:r w:rsidR="00CE3A76">
              <w:rPr>
                <w:noProof/>
              </w:rPr>
              <w:fldChar w:fldCharType="begin"/>
            </w:r>
            <w:r w:rsidR="00CE3A76">
              <w:rPr>
                <w:noProof/>
              </w:rPr>
              <w:instrText xml:space="preserve"> PAGEREF _Toc111304447 \h </w:instrText>
            </w:r>
            <w:r w:rsidR="00CE3A76">
              <w:rPr>
                <w:noProof/>
              </w:rPr>
            </w:r>
            <w:r w:rsidR="00CE3A76">
              <w:rPr>
                <w:noProof/>
              </w:rPr>
              <w:fldChar w:fldCharType="separate"/>
            </w:r>
            <w:r w:rsidR="00CE3A76">
              <w:rPr>
                <w:noProof/>
              </w:rPr>
              <w:t>1</w:t>
            </w:r>
            <w:r w:rsidR="00CE3A76">
              <w:rPr>
                <w:noProof/>
              </w:rPr>
              <w:fldChar w:fldCharType="end"/>
            </w:r>
          </w:hyperlink>
        </w:p>
        <w:p w14:paraId="2BF507EE" w14:textId="77777777" w:rsidR="00CE3A76" w:rsidRDefault="00424F0D" w:rsidP="00CE3A76">
          <w:pPr>
            <w:pStyle w:val="11"/>
            <w:tabs>
              <w:tab w:val="left" w:pos="1470"/>
            </w:tabs>
            <w:spacing w:before="78" w:after="78"/>
            <w:rPr>
              <w:rFonts w:asciiTheme="minorHAnsi" w:eastAsiaTheme="minorEastAsia" w:hAnsiTheme="minorHAnsi" w:cstheme="minorBidi"/>
              <w:noProof/>
              <w:szCs w:val="22"/>
            </w:rPr>
          </w:pPr>
          <w:hyperlink w:anchor="_Toc111304448" w:history="1">
            <w:r w:rsidR="00CE3A76" w:rsidRPr="00011B7D">
              <w:rPr>
                <w:rStyle w:val="afffa"/>
                <w:noProof/>
              </w:rPr>
              <w:t>3</w:t>
            </w:r>
            <w:r w:rsidR="00CE3A76">
              <w:rPr>
                <w:rFonts w:asciiTheme="minorHAnsi" w:eastAsiaTheme="minorEastAsia" w:hAnsiTheme="minorHAnsi" w:cstheme="minorBidi"/>
                <w:noProof/>
                <w:szCs w:val="22"/>
              </w:rPr>
              <w:tab/>
            </w:r>
            <w:r w:rsidR="00CE3A76" w:rsidRPr="00011B7D">
              <w:rPr>
                <w:rStyle w:val="afffa"/>
                <w:rFonts w:hint="eastAsia"/>
                <w:noProof/>
              </w:rPr>
              <w:t>术语和定义</w:t>
            </w:r>
            <w:r w:rsidR="00CE3A76">
              <w:rPr>
                <w:noProof/>
              </w:rPr>
              <w:tab/>
            </w:r>
            <w:r w:rsidR="00CE3A76">
              <w:rPr>
                <w:noProof/>
              </w:rPr>
              <w:fldChar w:fldCharType="begin"/>
            </w:r>
            <w:r w:rsidR="00CE3A76">
              <w:rPr>
                <w:noProof/>
              </w:rPr>
              <w:instrText xml:space="preserve"> PAGEREF _Toc111304448 \h </w:instrText>
            </w:r>
            <w:r w:rsidR="00CE3A76">
              <w:rPr>
                <w:noProof/>
              </w:rPr>
            </w:r>
            <w:r w:rsidR="00CE3A76">
              <w:rPr>
                <w:noProof/>
              </w:rPr>
              <w:fldChar w:fldCharType="separate"/>
            </w:r>
            <w:r w:rsidR="00CE3A76">
              <w:rPr>
                <w:noProof/>
              </w:rPr>
              <w:t>1</w:t>
            </w:r>
            <w:r w:rsidR="00CE3A76">
              <w:rPr>
                <w:noProof/>
              </w:rPr>
              <w:fldChar w:fldCharType="end"/>
            </w:r>
          </w:hyperlink>
        </w:p>
        <w:p w14:paraId="723DFB71" w14:textId="77777777" w:rsidR="00CE3A76" w:rsidRDefault="00424F0D" w:rsidP="00CE3A76">
          <w:pPr>
            <w:pStyle w:val="11"/>
            <w:tabs>
              <w:tab w:val="left" w:pos="1470"/>
            </w:tabs>
            <w:spacing w:before="78" w:after="78"/>
            <w:rPr>
              <w:rFonts w:asciiTheme="minorHAnsi" w:eastAsiaTheme="minorEastAsia" w:hAnsiTheme="minorHAnsi" w:cstheme="minorBidi"/>
              <w:noProof/>
              <w:szCs w:val="22"/>
            </w:rPr>
          </w:pPr>
          <w:hyperlink w:anchor="_Toc111304449" w:history="1">
            <w:r w:rsidR="00CE3A76" w:rsidRPr="00011B7D">
              <w:rPr>
                <w:rStyle w:val="afffa"/>
                <w:noProof/>
              </w:rPr>
              <w:t>4</w:t>
            </w:r>
            <w:r w:rsidR="00CE3A76">
              <w:rPr>
                <w:rFonts w:asciiTheme="minorHAnsi" w:eastAsiaTheme="minorEastAsia" w:hAnsiTheme="minorHAnsi" w:cstheme="minorBidi"/>
                <w:noProof/>
                <w:szCs w:val="22"/>
              </w:rPr>
              <w:tab/>
            </w:r>
            <w:r w:rsidR="00CE3A76" w:rsidRPr="00011B7D">
              <w:rPr>
                <w:rStyle w:val="afffa"/>
                <w:rFonts w:hint="eastAsia"/>
                <w:noProof/>
              </w:rPr>
              <w:t>激光电弧复合焊接工艺</w:t>
            </w:r>
            <w:r w:rsidR="00CE3A76">
              <w:rPr>
                <w:noProof/>
              </w:rPr>
              <w:tab/>
            </w:r>
            <w:r w:rsidR="00CE3A76">
              <w:rPr>
                <w:noProof/>
              </w:rPr>
              <w:fldChar w:fldCharType="begin"/>
            </w:r>
            <w:r w:rsidR="00CE3A76">
              <w:rPr>
                <w:noProof/>
              </w:rPr>
              <w:instrText xml:space="preserve"> PAGEREF _Toc111304449 \h </w:instrText>
            </w:r>
            <w:r w:rsidR="00CE3A76">
              <w:rPr>
                <w:noProof/>
              </w:rPr>
            </w:r>
            <w:r w:rsidR="00CE3A76">
              <w:rPr>
                <w:noProof/>
              </w:rPr>
              <w:fldChar w:fldCharType="separate"/>
            </w:r>
            <w:r w:rsidR="00CE3A76">
              <w:rPr>
                <w:noProof/>
              </w:rPr>
              <w:t>3</w:t>
            </w:r>
            <w:r w:rsidR="00CE3A76">
              <w:rPr>
                <w:noProof/>
              </w:rPr>
              <w:fldChar w:fldCharType="end"/>
            </w:r>
          </w:hyperlink>
        </w:p>
        <w:p w14:paraId="4EE410EA" w14:textId="77777777" w:rsidR="00CE3A76" w:rsidRDefault="00424F0D" w:rsidP="00CE3A76">
          <w:pPr>
            <w:pStyle w:val="11"/>
            <w:tabs>
              <w:tab w:val="left" w:pos="1470"/>
            </w:tabs>
            <w:spacing w:before="78" w:after="78"/>
            <w:rPr>
              <w:rFonts w:asciiTheme="minorHAnsi" w:eastAsiaTheme="minorEastAsia" w:hAnsiTheme="minorHAnsi" w:cstheme="minorBidi"/>
              <w:noProof/>
              <w:szCs w:val="22"/>
            </w:rPr>
          </w:pPr>
          <w:hyperlink w:anchor="_Toc111304453" w:history="1">
            <w:r w:rsidR="00CE3A76" w:rsidRPr="00011B7D">
              <w:rPr>
                <w:rStyle w:val="afffa"/>
                <w:noProof/>
              </w:rPr>
              <w:t>5</w:t>
            </w:r>
            <w:r w:rsidR="00CE3A76">
              <w:rPr>
                <w:rFonts w:asciiTheme="minorHAnsi" w:eastAsiaTheme="minorEastAsia" w:hAnsiTheme="minorHAnsi" w:cstheme="minorBidi"/>
                <w:noProof/>
                <w:szCs w:val="22"/>
              </w:rPr>
              <w:tab/>
            </w:r>
            <w:r w:rsidR="00CE3A76" w:rsidRPr="00011B7D">
              <w:rPr>
                <w:rStyle w:val="afffa"/>
                <w:rFonts w:hint="eastAsia"/>
                <w:noProof/>
              </w:rPr>
              <w:t>激光电弧复合焊接试验要求</w:t>
            </w:r>
            <w:r w:rsidR="00CE3A76">
              <w:rPr>
                <w:noProof/>
              </w:rPr>
              <w:tab/>
            </w:r>
            <w:r w:rsidR="00CE3A76">
              <w:rPr>
                <w:noProof/>
              </w:rPr>
              <w:fldChar w:fldCharType="begin"/>
            </w:r>
            <w:r w:rsidR="00CE3A76">
              <w:rPr>
                <w:noProof/>
              </w:rPr>
              <w:instrText xml:space="preserve"> PAGEREF _Toc111304453 \h </w:instrText>
            </w:r>
            <w:r w:rsidR="00CE3A76">
              <w:rPr>
                <w:noProof/>
              </w:rPr>
            </w:r>
            <w:r w:rsidR="00CE3A76">
              <w:rPr>
                <w:noProof/>
              </w:rPr>
              <w:fldChar w:fldCharType="separate"/>
            </w:r>
            <w:r w:rsidR="00CE3A76">
              <w:rPr>
                <w:noProof/>
              </w:rPr>
              <w:t>4</w:t>
            </w:r>
            <w:r w:rsidR="00CE3A76">
              <w:rPr>
                <w:noProof/>
              </w:rPr>
              <w:fldChar w:fldCharType="end"/>
            </w:r>
          </w:hyperlink>
        </w:p>
        <w:p w14:paraId="1E69CC62" w14:textId="77777777" w:rsidR="00CE3A76" w:rsidRDefault="00424F0D" w:rsidP="00CE3A76">
          <w:pPr>
            <w:pStyle w:val="11"/>
            <w:tabs>
              <w:tab w:val="left" w:pos="1470"/>
            </w:tabs>
            <w:spacing w:before="78" w:after="78"/>
            <w:rPr>
              <w:rFonts w:asciiTheme="minorHAnsi" w:eastAsiaTheme="minorEastAsia" w:hAnsiTheme="minorHAnsi" w:cstheme="minorBidi"/>
              <w:noProof/>
              <w:szCs w:val="22"/>
            </w:rPr>
          </w:pPr>
          <w:hyperlink w:anchor="_Toc111304458" w:history="1">
            <w:r w:rsidR="00CE3A76" w:rsidRPr="00011B7D">
              <w:rPr>
                <w:rStyle w:val="afffa"/>
                <w:noProof/>
              </w:rPr>
              <w:t>6</w:t>
            </w:r>
            <w:r w:rsidR="00CE3A76">
              <w:rPr>
                <w:rFonts w:asciiTheme="minorHAnsi" w:eastAsiaTheme="minorEastAsia" w:hAnsiTheme="minorHAnsi" w:cstheme="minorBidi"/>
                <w:noProof/>
                <w:szCs w:val="22"/>
              </w:rPr>
              <w:tab/>
            </w:r>
            <w:r w:rsidR="00CE3A76" w:rsidRPr="00011B7D">
              <w:rPr>
                <w:rStyle w:val="afffa"/>
                <w:rFonts w:hint="eastAsia"/>
                <w:noProof/>
              </w:rPr>
              <w:t>预焊接工艺规范</w:t>
            </w:r>
            <w:r w:rsidR="00CE3A76" w:rsidRPr="00011B7D">
              <w:rPr>
                <w:rStyle w:val="afffa"/>
                <w:noProof/>
              </w:rPr>
              <w:t>(pWPS)</w:t>
            </w:r>
            <w:r w:rsidR="00CE3A76" w:rsidRPr="00011B7D">
              <w:rPr>
                <w:rStyle w:val="afffa"/>
                <w:rFonts w:hint="eastAsia"/>
                <w:noProof/>
              </w:rPr>
              <w:t>和焊接工艺规程</w:t>
            </w:r>
            <w:r w:rsidR="00CE3A76" w:rsidRPr="00011B7D">
              <w:rPr>
                <w:rStyle w:val="afffa"/>
                <w:noProof/>
              </w:rPr>
              <w:t>(WPS)</w:t>
            </w:r>
            <w:r w:rsidR="00CE3A76">
              <w:rPr>
                <w:noProof/>
              </w:rPr>
              <w:tab/>
            </w:r>
            <w:r w:rsidR="00CE3A76">
              <w:rPr>
                <w:noProof/>
              </w:rPr>
              <w:fldChar w:fldCharType="begin"/>
            </w:r>
            <w:r w:rsidR="00CE3A76">
              <w:rPr>
                <w:noProof/>
              </w:rPr>
              <w:instrText xml:space="preserve"> PAGEREF _Toc111304458 \h </w:instrText>
            </w:r>
            <w:r w:rsidR="00CE3A76">
              <w:rPr>
                <w:noProof/>
              </w:rPr>
            </w:r>
            <w:r w:rsidR="00CE3A76">
              <w:rPr>
                <w:noProof/>
              </w:rPr>
              <w:fldChar w:fldCharType="separate"/>
            </w:r>
            <w:r w:rsidR="00CE3A76">
              <w:rPr>
                <w:noProof/>
              </w:rPr>
              <w:t>4</w:t>
            </w:r>
            <w:r w:rsidR="00CE3A76">
              <w:rPr>
                <w:noProof/>
              </w:rPr>
              <w:fldChar w:fldCharType="end"/>
            </w:r>
          </w:hyperlink>
        </w:p>
        <w:p w14:paraId="5BD28A3E" w14:textId="77777777" w:rsidR="00CE3A76" w:rsidRDefault="00424F0D" w:rsidP="00CE3A76">
          <w:pPr>
            <w:pStyle w:val="11"/>
            <w:tabs>
              <w:tab w:val="left" w:pos="1470"/>
            </w:tabs>
            <w:spacing w:before="78" w:after="78"/>
            <w:rPr>
              <w:rFonts w:asciiTheme="minorHAnsi" w:eastAsiaTheme="minorEastAsia" w:hAnsiTheme="minorHAnsi" w:cstheme="minorBidi"/>
              <w:noProof/>
              <w:szCs w:val="22"/>
            </w:rPr>
          </w:pPr>
          <w:hyperlink w:anchor="_Toc111304473" w:history="1">
            <w:r w:rsidR="00CE3A76" w:rsidRPr="00011B7D">
              <w:rPr>
                <w:rStyle w:val="afffa"/>
                <w:noProof/>
              </w:rPr>
              <w:t>7</w:t>
            </w:r>
            <w:r w:rsidR="00CE3A76">
              <w:rPr>
                <w:rFonts w:asciiTheme="minorHAnsi" w:eastAsiaTheme="minorEastAsia" w:hAnsiTheme="minorHAnsi" w:cstheme="minorBidi"/>
                <w:noProof/>
                <w:szCs w:val="22"/>
              </w:rPr>
              <w:tab/>
            </w:r>
            <w:r w:rsidR="00CE3A76" w:rsidRPr="00011B7D">
              <w:rPr>
                <w:rStyle w:val="afffa"/>
                <w:rFonts w:hint="eastAsia"/>
                <w:noProof/>
              </w:rPr>
              <w:t>焊接工艺试验</w:t>
            </w:r>
            <w:r w:rsidR="00CE3A76">
              <w:rPr>
                <w:noProof/>
              </w:rPr>
              <w:tab/>
            </w:r>
            <w:r w:rsidR="00CE3A76">
              <w:rPr>
                <w:noProof/>
              </w:rPr>
              <w:fldChar w:fldCharType="begin"/>
            </w:r>
            <w:r w:rsidR="00CE3A76">
              <w:rPr>
                <w:noProof/>
              </w:rPr>
              <w:instrText xml:space="preserve"> PAGEREF _Toc111304473 \h </w:instrText>
            </w:r>
            <w:r w:rsidR="00CE3A76">
              <w:rPr>
                <w:noProof/>
              </w:rPr>
            </w:r>
            <w:r w:rsidR="00CE3A76">
              <w:rPr>
                <w:noProof/>
              </w:rPr>
              <w:fldChar w:fldCharType="separate"/>
            </w:r>
            <w:r w:rsidR="00CE3A76">
              <w:rPr>
                <w:noProof/>
              </w:rPr>
              <w:t>9</w:t>
            </w:r>
            <w:r w:rsidR="00CE3A76">
              <w:rPr>
                <w:noProof/>
              </w:rPr>
              <w:fldChar w:fldCharType="end"/>
            </w:r>
          </w:hyperlink>
        </w:p>
        <w:p w14:paraId="370E40AB" w14:textId="77777777" w:rsidR="00CE3A76" w:rsidRDefault="00424F0D" w:rsidP="00CE3A76">
          <w:pPr>
            <w:pStyle w:val="11"/>
            <w:tabs>
              <w:tab w:val="left" w:pos="1470"/>
            </w:tabs>
            <w:spacing w:before="78" w:after="78"/>
            <w:rPr>
              <w:rFonts w:asciiTheme="minorHAnsi" w:eastAsiaTheme="minorEastAsia" w:hAnsiTheme="minorHAnsi" w:cstheme="minorBidi"/>
              <w:noProof/>
              <w:szCs w:val="22"/>
            </w:rPr>
          </w:pPr>
          <w:hyperlink w:anchor="_Toc111304482" w:history="1">
            <w:r w:rsidR="00CE3A76" w:rsidRPr="00011B7D">
              <w:rPr>
                <w:rStyle w:val="afffa"/>
                <w:noProof/>
              </w:rPr>
              <w:t>8</w:t>
            </w:r>
            <w:r w:rsidR="00CE3A76">
              <w:rPr>
                <w:rFonts w:asciiTheme="minorHAnsi" w:eastAsiaTheme="minorEastAsia" w:hAnsiTheme="minorHAnsi" w:cstheme="minorBidi"/>
                <w:noProof/>
                <w:szCs w:val="22"/>
              </w:rPr>
              <w:tab/>
            </w:r>
            <w:r w:rsidR="00CE3A76" w:rsidRPr="00011B7D">
              <w:rPr>
                <w:rStyle w:val="afffa"/>
                <w:rFonts w:hint="eastAsia"/>
                <w:noProof/>
              </w:rPr>
              <w:t>激光电弧复合焊接设备监控</w:t>
            </w:r>
            <w:r w:rsidR="00CE3A76">
              <w:rPr>
                <w:noProof/>
              </w:rPr>
              <w:tab/>
            </w:r>
            <w:r w:rsidR="00CE3A76">
              <w:rPr>
                <w:noProof/>
              </w:rPr>
              <w:fldChar w:fldCharType="begin"/>
            </w:r>
            <w:r w:rsidR="00CE3A76">
              <w:rPr>
                <w:noProof/>
              </w:rPr>
              <w:instrText xml:space="preserve"> PAGEREF _Toc111304482 \h </w:instrText>
            </w:r>
            <w:r w:rsidR="00CE3A76">
              <w:rPr>
                <w:noProof/>
              </w:rPr>
            </w:r>
            <w:r w:rsidR="00CE3A76">
              <w:rPr>
                <w:noProof/>
              </w:rPr>
              <w:fldChar w:fldCharType="separate"/>
            </w:r>
            <w:r w:rsidR="00CE3A76">
              <w:rPr>
                <w:noProof/>
              </w:rPr>
              <w:t>11</w:t>
            </w:r>
            <w:r w:rsidR="00CE3A76">
              <w:rPr>
                <w:noProof/>
              </w:rPr>
              <w:fldChar w:fldCharType="end"/>
            </w:r>
          </w:hyperlink>
        </w:p>
        <w:p w14:paraId="38D3B949" w14:textId="77777777" w:rsidR="00CE3A76" w:rsidRDefault="00424F0D" w:rsidP="00CE3A76">
          <w:pPr>
            <w:pStyle w:val="11"/>
            <w:tabs>
              <w:tab w:val="left" w:pos="1470"/>
            </w:tabs>
            <w:spacing w:before="78" w:after="78"/>
            <w:rPr>
              <w:rFonts w:asciiTheme="minorHAnsi" w:eastAsiaTheme="minorEastAsia" w:hAnsiTheme="minorHAnsi" w:cstheme="minorBidi"/>
              <w:noProof/>
              <w:szCs w:val="22"/>
            </w:rPr>
          </w:pPr>
          <w:hyperlink w:anchor="_Toc111304487" w:history="1">
            <w:r w:rsidR="00CE3A76" w:rsidRPr="00011B7D">
              <w:rPr>
                <w:rStyle w:val="afffa"/>
                <w:noProof/>
              </w:rPr>
              <w:t>9</w:t>
            </w:r>
            <w:r w:rsidR="00CE3A76">
              <w:rPr>
                <w:rFonts w:asciiTheme="minorHAnsi" w:eastAsiaTheme="minorEastAsia" w:hAnsiTheme="minorHAnsi" w:cstheme="minorBidi"/>
                <w:noProof/>
                <w:szCs w:val="22"/>
              </w:rPr>
              <w:tab/>
            </w:r>
            <w:r w:rsidR="00CE3A76" w:rsidRPr="00011B7D">
              <w:rPr>
                <w:rStyle w:val="afffa"/>
                <w:rFonts w:hint="eastAsia"/>
                <w:noProof/>
              </w:rPr>
              <w:t>生产质量控制</w:t>
            </w:r>
            <w:r w:rsidR="00CE3A76">
              <w:rPr>
                <w:noProof/>
              </w:rPr>
              <w:tab/>
            </w:r>
            <w:r w:rsidR="00CE3A76">
              <w:rPr>
                <w:noProof/>
              </w:rPr>
              <w:fldChar w:fldCharType="begin"/>
            </w:r>
            <w:r w:rsidR="00CE3A76">
              <w:rPr>
                <w:noProof/>
              </w:rPr>
              <w:instrText xml:space="preserve"> PAGEREF _Toc111304487 \h </w:instrText>
            </w:r>
            <w:r w:rsidR="00CE3A76">
              <w:rPr>
                <w:noProof/>
              </w:rPr>
            </w:r>
            <w:r w:rsidR="00CE3A76">
              <w:rPr>
                <w:noProof/>
              </w:rPr>
              <w:fldChar w:fldCharType="separate"/>
            </w:r>
            <w:r w:rsidR="00CE3A76">
              <w:rPr>
                <w:noProof/>
              </w:rPr>
              <w:t>12</w:t>
            </w:r>
            <w:r w:rsidR="00CE3A76">
              <w:rPr>
                <w:noProof/>
              </w:rPr>
              <w:fldChar w:fldCharType="end"/>
            </w:r>
          </w:hyperlink>
        </w:p>
        <w:p w14:paraId="2D780534" w14:textId="77777777" w:rsidR="00CE3A76" w:rsidRDefault="00424F0D" w:rsidP="00CE3A76">
          <w:pPr>
            <w:pStyle w:val="11"/>
            <w:tabs>
              <w:tab w:val="left" w:pos="1470"/>
            </w:tabs>
            <w:spacing w:before="78" w:after="78"/>
            <w:rPr>
              <w:rFonts w:asciiTheme="minorHAnsi" w:eastAsiaTheme="minorEastAsia" w:hAnsiTheme="minorHAnsi" w:cstheme="minorBidi"/>
              <w:noProof/>
              <w:szCs w:val="22"/>
            </w:rPr>
          </w:pPr>
          <w:hyperlink w:anchor="_Toc111304490" w:history="1">
            <w:r w:rsidR="00CE3A76" w:rsidRPr="00011B7D">
              <w:rPr>
                <w:rStyle w:val="afffa"/>
                <w:noProof/>
              </w:rPr>
              <w:t>10</w:t>
            </w:r>
            <w:r w:rsidR="00CE3A76">
              <w:rPr>
                <w:rFonts w:asciiTheme="minorHAnsi" w:eastAsiaTheme="minorEastAsia" w:hAnsiTheme="minorHAnsi" w:cstheme="minorBidi"/>
                <w:noProof/>
                <w:szCs w:val="22"/>
              </w:rPr>
              <w:tab/>
            </w:r>
            <w:r w:rsidR="00CE3A76" w:rsidRPr="00011B7D">
              <w:rPr>
                <w:rStyle w:val="afffa"/>
                <w:rFonts w:hint="eastAsia"/>
                <w:noProof/>
              </w:rPr>
              <w:t>防止激光辐射的危害</w:t>
            </w:r>
            <w:r w:rsidR="00CE3A76">
              <w:rPr>
                <w:noProof/>
              </w:rPr>
              <w:tab/>
            </w:r>
            <w:r w:rsidR="00CE3A76">
              <w:rPr>
                <w:noProof/>
              </w:rPr>
              <w:fldChar w:fldCharType="begin"/>
            </w:r>
            <w:r w:rsidR="00CE3A76">
              <w:rPr>
                <w:noProof/>
              </w:rPr>
              <w:instrText xml:space="preserve"> PAGEREF _Toc111304490 \h </w:instrText>
            </w:r>
            <w:r w:rsidR="00CE3A76">
              <w:rPr>
                <w:noProof/>
              </w:rPr>
            </w:r>
            <w:r w:rsidR="00CE3A76">
              <w:rPr>
                <w:noProof/>
              </w:rPr>
              <w:fldChar w:fldCharType="separate"/>
            </w:r>
            <w:r w:rsidR="00CE3A76">
              <w:rPr>
                <w:noProof/>
              </w:rPr>
              <w:t>13</w:t>
            </w:r>
            <w:r w:rsidR="00CE3A76">
              <w:rPr>
                <w:noProof/>
              </w:rPr>
              <w:fldChar w:fldCharType="end"/>
            </w:r>
          </w:hyperlink>
        </w:p>
        <w:p w14:paraId="706C7401" w14:textId="77777777" w:rsidR="00CE3A76" w:rsidRDefault="00424F0D" w:rsidP="00CE3A76">
          <w:pPr>
            <w:pStyle w:val="11"/>
            <w:spacing w:before="78" w:after="78"/>
            <w:rPr>
              <w:rFonts w:asciiTheme="minorHAnsi" w:eastAsiaTheme="minorEastAsia" w:hAnsiTheme="minorHAnsi" w:cstheme="minorBidi"/>
              <w:noProof/>
              <w:szCs w:val="22"/>
            </w:rPr>
          </w:pPr>
          <w:hyperlink w:anchor="_Toc111304492" w:history="1">
            <w:r w:rsidR="00CE3A76" w:rsidRPr="00011B7D">
              <w:rPr>
                <w:rStyle w:val="afffa"/>
                <w:rFonts w:ascii="Times New Roman" w:hint="eastAsia"/>
                <w:noProof/>
              </w:rPr>
              <w:t>参考文献</w:t>
            </w:r>
            <w:r w:rsidR="00CE3A76">
              <w:rPr>
                <w:noProof/>
              </w:rPr>
              <w:tab/>
            </w:r>
            <w:r w:rsidR="00CE3A76">
              <w:rPr>
                <w:noProof/>
              </w:rPr>
              <w:fldChar w:fldCharType="begin"/>
            </w:r>
            <w:r w:rsidR="00CE3A76">
              <w:rPr>
                <w:noProof/>
              </w:rPr>
              <w:instrText xml:space="preserve"> PAGEREF _Toc111304492 \h </w:instrText>
            </w:r>
            <w:r w:rsidR="00CE3A76">
              <w:rPr>
                <w:noProof/>
              </w:rPr>
            </w:r>
            <w:r w:rsidR="00CE3A76">
              <w:rPr>
                <w:noProof/>
              </w:rPr>
              <w:fldChar w:fldCharType="separate"/>
            </w:r>
            <w:r w:rsidR="00CE3A76">
              <w:rPr>
                <w:noProof/>
              </w:rPr>
              <w:t>14</w:t>
            </w:r>
            <w:r w:rsidR="00CE3A76">
              <w:rPr>
                <w:noProof/>
              </w:rPr>
              <w:fldChar w:fldCharType="end"/>
            </w:r>
          </w:hyperlink>
        </w:p>
        <w:p w14:paraId="0BAB3B95" w14:textId="77777777" w:rsidR="00171F3F" w:rsidRDefault="00CE3A76">
          <w:r>
            <w:fldChar w:fldCharType="end"/>
          </w:r>
        </w:p>
      </w:sdtContent>
    </w:sdt>
    <w:p w14:paraId="4319884A" w14:textId="77777777" w:rsidR="00171F3F" w:rsidRDefault="00CE3A76">
      <w:pPr>
        <w:pStyle w:val="11"/>
        <w:spacing w:before="78" w:after="78"/>
      </w:pPr>
      <w:r>
        <w:br w:type="page"/>
      </w:r>
      <w:r>
        <w:fldChar w:fldCharType="begin" w:fldLock="1"/>
      </w:r>
      <w:r>
        <w:instrText xml:space="preserve"> TOC \h \z \t"前言、引言标题,1,参考文献、索引标题,1,章标题,1,参考文献,1,附录标识,1" \* MERGEFORMAT </w:instrText>
      </w:r>
      <w:r>
        <w:fldChar w:fldCharType="end"/>
      </w:r>
    </w:p>
    <w:p w14:paraId="458E4B76" w14:textId="77777777" w:rsidR="00171F3F" w:rsidRDefault="00171F3F">
      <w:pPr>
        <w:jc w:val="center"/>
      </w:pPr>
      <w:bookmarkStart w:id="17" w:name="_Toc22451396"/>
      <w:bookmarkStart w:id="18" w:name="_Toc9155"/>
    </w:p>
    <w:p w14:paraId="7EF1B9C4" w14:textId="77777777" w:rsidR="00171F3F" w:rsidRDefault="00CE3A76">
      <w:pPr>
        <w:jc w:val="center"/>
        <w:outlineLvl w:val="0"/>
        <w:rPr>
          <w:rFonts w:ascii="黑体" w:eastAsia="黑体"/>
          <w:color w:val="000000"/>
          <w:sz w:val="32"/>
          <w:szCs w:val="22"/>
        </w:rPr>
      </w:pPr>
      <w:bookmarkStart w:id="19" w:name="_Toc28069"/>
      <w:bookmarkStart w:id="20" w:name="_Toc111304445"/>
      <w:r>
        <w:rPr>
          <w:rFonts w:ascii="黑体" w:eastAsia="黑体" w:hint="eastAsia"/>
          <w:color w:val="000000"/>
          <w:sz w:val="32"/>
          <w:szCs w:val="22"/>
        </w:rPr>
        <w:t>前</w:t>
      </w:r>
      <w:bookmarkStart w:id="21" w:name="BKQY"/>
      <w:r>
        <w:rPr>
          <w:rFonts w:ascii="黑体" w:eastAsia="黑体" w:hint="eastAsia"/>
          <w:color w:val="000000"/>
          <w:sz w:val="32"/>
          <w:szCs w:val="22"/>
        </w:rPr>
        <w:t>  言</w:t>
      </w:r>
      <w:bookmarkEnd w:id="8"/>
      <w:bookmarkEnd w:id="9"/>
      <w:bookmarkEnd w:id="10"/>
      <w:bookmarkEnd w:id="11"/>
      <w:bookmarkEnd w:id="12"/>
      <w:bookmarkEnd w:id="13"/>
      <w:bookmarkEnd w:id="14"/>
      <w:bookmarkEnd w:id="17"/>
      <w:bookmarkEnd w:id="18"/>
      <w:bookmarkEnd w:id="19"/>
      <w:bookmarkEnd w:id="20"/>
      <w:bookmarkEnd w:id="21"/>
    </w:p>
    <w:p w14:paraId="1A70947C" w14:textId="77777777" w:rsidR="00171F3F" w:rsidRDefault="00CE3A76">
      <w:pPr>
        <w:pStyle w:val="afff2"/>
        <w:spacing w:line="360" w:lineRule="auto"/>
        <w:ind w:left="0"/>
        <w:rPr>
          <w:rFonts w:ascii="Times New Roman"/>
          <w:color w:val="000000"/>
          <w:szCs w:val="22"/>
        </w:rPr>
      </w:pPr>
      <w:r>
        <w:rPr>
          <w:rFonts w:ascii="Times New Roman"/>
          <w:color w:val="000000"/>
          <w:szCs w:val="22"/>
        </w:rPr>
        <w:t>本</w:t>
      </w:r>
      <w:r>
        <w:rPr>
          <w:rFonts w:ascii="Times New Roman" w:hint="eastAsia"/>
          <w:color w:val="000000"/>
          <w:szCs w:val="22"/>
        </w:rPr>
        <w:t>文件</w:t>
      </w:r>
      <w:r>
        <w:rPr>
          <w:rFonts w:ascii="Times New Roman"/>
          <w:color w:val="000000"/>
          <w:szCs w:val="22"/>
        </w:rPr>
        <w:t>按照</w:t>
      </w:r>
      <w:r>
        <w:rPr>
          <w:rFonts w:ascii="Times New Roman" w:hint="eastAsia"/>
          <w:color w:val="000000"/>
          <w:szCs w:val="22"/>
        </w:rPr>
        <w:t>GB/T 1.1-2020</w:t>
      </w:r>
      <w:r>
        <w:rPr>
          <w:rFonts w:ascii="Times New Roman" w:hint="eastAsia"/>
          <w:color w:val="000000"/>
          <w:szCs w:val="22"/>
        </w:rPr>
        <w:t>《标准化工作导则</w:t>
      </w:r>
      <w:r>
        <w:rPr>
          <w:rFonts w:ascii="Times New Roman" w:hint="eastAsia"/>
          <w:color w:val="000000"/>
          <w:szCs w:val="22"/>
        </w:rPr>
        <w:t xml:space="preserve">   </w:t>
      </w:r>
      <w:r>
        <w:rPr>
          <w:rFonts w:ascii="Times New Roman" w:hint="eastAsia"/>
          <w:color w:val="000000"/>
          <w:szCs w:val="22"/>
        </w:rPr>
        <w:t>第</w:t>
      </w:r>
      <w:r>
        <w:rPr>
          <w:rFonts w:ascii="Times New Roman" w:hint="eastAsia"/>
          <w:color w:val="000000"/>
          <w:szCs w:val="22"/>
        </w:rPr>
        <w:t>1</w:t>
      </w:r>
      <w:r>
        <w:rPr>
          <w:rFonts w:ascii="Times New Roman" w:hint="eastAsia"/>
          <w:color w:val="000000"/>
          <w:szCs w:val="22"/>
        </w:rPr>
        <w:t>部分：标准化文件的结构和起草规则》</w:t>
      </w:r>
      <w:r>
        <w:rPr>
          <w:rFonts w:ascii="Times New Roman"/>
          <w:color w:val="000000"/>
          <w:szCs w:val="22"/>
        </w:rPr>
        <w:t>的规</w:t>
      </w:r>
      <w:r>
        <w:rPr>
          <w:rFonts w:ascii="Times New Roman" w:hint="eastAsia"/>
          <w:color w:val="000000"/>
          <w:szCs w:val="22"/>
        </w:rPr>
        <w:t>定</w:t>
      </w:r>
      <w:r>
        <w:rPr>
          <w:rFonts w:ascii="Times New Roman"/>
          <w:color w:val="000000"/>
          <w:szCs w:val="22"/>
        </w:rPr>
        <w:t>起草。</w:t>
      </w:r>
    </w:p>
    <w:p w14:paraId="6BFD0B52" w14:textId="77777777" w:rsidR="00171F3F" w:rsidRDefault="00CE3A76">
      <w:pPr>
        <w:pStyle w:val="afff2"/>
        <w:spacing w:line="360" w:lineRule="auto"/>
        <w:ind w:left="0"/>
        <w:rPr>
          <w:rFonts w:ascii="Times New Roman"/>
          <w:color w:val="000000"/>
          <w:szCs w:val="22"/>
        </w:rPr>
      </w:pPr>
      <w:r>
        <w:rPr>
          <w:rFonts w:ascii="Times New Roman" w:hint="eastAsia"/>
          <w:color w:val="000000"/>
          <w:szCs w:val="22"/>
        </w:rPr>
        <w:t>注意本文件的某些内容可能涉及专利。本文件的发布机构不承担识别这些专利的责任。</w:t>
      </w:r>
    </w:p>
    <w:p w14:paraId="65A8446B" w14:textId="77777777" w:rsidR="00171F3F" w:rsidRDefault="00CE3A76">
      <w:pPr>
        <w:pStyle w:val="afff2"/>
        <w:spacing w:line="360" w:lineRule="auto"/>
        <w:ind w:left="0"/>
        <w:rPr>
          <w:rFonts w:ascii="Times New Roman"/>
          <w:color w:val="000000"/>
          <w:szCs w:val="22"/>
        </w:rPr>
      </w:pPr>
      <w:bookmarkStart w:id="22" w:name="_Hlk22125520"/>
      <w:r>
        <w:rPr>
          <w:rFonts w:ascii="Times New Roman" w:hint="eastAsia"/>
          <w:color w:val="000000"/>
          <w:szCs w:val="22"/>
        </w:rPr>
        <w:t>本文件由中国金属学会标准化工作委员会提出并归口。</w:t>
      </w:r>
      <w:bookmarkEnd w:id="22"/>
    </w:p>
    <w:p w14:paraId="0355B1FD" w14:textId="77777777" w:rsidR="00171F3F" w:rsidRDefault="00CE3A76">
      <w:pPr>
        <w:pStyle w:val="afff2"/>
        <w:spacing w:line="360" w:lineRule="auto"/>
        <w:ind w:left="0"/>
        <w:rPr>
          <w:rFonts w:ascii="Times New Roman"/>
          <w:color w:val="000000"/>
          <w:szCs w:val="22"/>
        </w:rPr>
      </w:pPr>
      <w:r>
        <w:rPr>
          <w:rFonts w:ascii="Times New Roman"/>
          <w:color w:val="000000"/>
          <w:szCs w:val="22"/>
        </w:rPr>
        <w:t>本</w:t>
      </w:r>
      <w:r>
        <w:rPr>
          <w:rFonts w:ascii="Times New Roman" w:hint="eastAsia"/>
          <w:color w:val="000000"/>
          <w:szCs w:val="22"/>
        </w:rPr>
        <w:t>文件</w:t>
      </w:r>
      <w:r>
        <w:rPr>
          <w:rFonts w:ascii="Times New Roman"/>
          <w:color w:val="000000"/>
          <w:szCs w:val="22"/>
        </w:rPr>
        <w:t>起草单位：</w:t>
      </w:r>
      <w:r w:rsidRPr="00CE3A76">
        <w:rPr>
          <w:rFonts w:ascii="Times New Roman" w:hint="eastAsia"/>
          <w:color w:val="000000"/>
          <w:szCs w:val="22"/>
        </w:rPr>
        <w:t>中集海洋工程研究院有限公司</w:t>
      </w:r>
      <w:r>
        <w:rPr>
          <w:rFonts w:ascii="Times New Roman" w:hint="eastAsia"/>
          <w:color w:val="000000"/>
          <w:szCs w:val="22"/>
        </w:rPr>
        <w:t>、</w:t>
      </w:r>
      <w:r w:rsidRPr="00CE3A76">
        <w:rPr>
          <w:rFonts w:ascii="Times New Roman" w:hint="eastAsia"/>
          <w:color w:val="000000"/>
          <w:szCs w:val="22"/>
        </w:rPr>
        <w:t>北京科技大学、济南大学、山东钢铁集团日照钢铁有限公司</w:t>
      </w:r>
    </w:p>
    <w:p w14:paraId="0999E6B8" w14:textId="6B1BBEB9" w:rsidR="00171F3F" w:rsidRDefault="00CE3A76">
      <w:pPr>
        <w:pStyle w:val="afff2"/>
        <w:spacing w:line="360" w:lineRule="auto"/>
        <w:ind w:left="0"/>
        <w:rPr>
          <w:rFonts w:ascii="Times New Roman"/>
          <w:color w:val="000000"/>
          <w:szCs w:val="22"/>
        </w:rPr>
      </w:pPr>
      <w:r>
        <w:rPr>
          <w:rFonts w:ascii="Times New Roman"/>
          <w:color w:val="000000"/>
          <w:szCs w:val="22"/>
        </w:rPr>
        <w:t>本</w:t>
      </w:r>
      <w:r>
        <w:rPr>
          <w:rFonts w:ascii="Times New Roman" w:hint="eastAsia"/>
          <w:color w:val="000000"/>
          <w:szCs w:val="22"/>
        </w:rPr>
        <w:t>文件</w:t>
      </w:r>
      <w:r>
        <w:rPr>
          <w:rFonts w:ascii="Times New Roman"/>
          <w:color w:val="000000"/>
          <w:szCs w:val="22"/>
        </w:rPr>
        <w:t>主要起草人：</w:t>
      </w:r>
      <w:bookmarkEnd w:id="15"/>
      <w:r w:rsidR="00314772" w:rsidRPr="00314772">
        <w:rPr>
          <w:rFonts w:ascii="Times New Roman" w:hint="eastAsia"/>
          <w:color w:val="000000"/>
          <w:szCs w:val="22"/>
        </w:rPr>
        <w:t>王寿军</w:t>
      </w:r>
      <w:r w:rsidR="00314772" w:rsidRPr="00314772">
        <w:rPr>
          <w:rFonts w:ascii="Times New Roman" w:hint="eastAsia"/>
          <w:color w:val="000000"/>
          <w:szCs w:val="22"/>
        </w:rPr>
        <w:t xml:space="preserve"> </w:t>
      </w:r>
      <w:r w:rsidR="00314772" w:rsidRPr="00314772">
        <w:rPr>
          <w:rFonts w:ascii="Times New Roman" w:hint="eastAsia"/>
          <w:color w:val="000000"/>
          <w:szCs w:val="22"/>
        </w:rPr>
        <w:t>王琪晨</w:t>
      </w:r>
      <w:r w:rsidR="00314772" w:rsidRPr="00314772">
        <w:rPr>
          <w:rFonts w:ascii="Times New Roman" w:hint="eastAsia"/>
          <w:color w:val="000000"/>
          <w:szCs w:val="22"/>
        </w:rPr>
        <w:t xml:space="preserve"> </w:t>
      </w:r>
      <w:r w:rsidR="00314772" w:rsidRPr="00314772">
        <w:rPr>
          <w:rFonts w:ascii="Times New Roman" w:hint="eastAsia"/>
          <w:color w:val="000000"/>
          <w:szCs w:val="22"/>
        </w:rPr>
        <w:t>滕瑶</w:t>
      </w:r>
      <w:r w:rsidR="00314772" w:rsidRPr="00314772">
        <w:rPr>
          <w:rFonts w:ascii="Times New Roman" w:hint="eastAsia"/>
          <w:color w:val="000000"/>
          <w:szCs w:val="22"/>
        </w:rPr>
        <w:t xml:space="preserve"> </w:t>
      </w:r>
      <w:r w:rsidR="00314772" w:rsidRPr="00314772">
        <w:rPr>
          <w:rFonts w:ascii="Times New Roman" w:hint="eastAsia"/>
          <w:color w:val="000000"/>
          <w:szCs w:val="22"/>
        </w:rPr>
        <w:t>刘金程</w:t>
      </w:r>
      <w:r w:rsidR="00314772" w:rsidRPr="00314772">
        <w:rPr>
          <w:rFonts w:ascii="Times New Roman" w:hint="eastAsia"/>
          <w:color w:val="000000"/>
          <w:szCs w:val="22"/>
        </w:rPr>
        <w:t xml:space="preserve"> </w:t>
      </w:r>
      <w:r w:rsidR="00314772" w:rsidRPr="00314772">
        <w:rPr>
          <w:rFonts w:ascii="Times New Roman" w:hint="eastAsia"/>
          <w:color w:val="000000"/>
          <w:szCs w:val="22"/>
        </w:rPr>
        <w:t>张涛</w:t>
      </w:r>
      <w:r w:rsidR="00314772" w:rsidRPr="00314772">
        <w:rPr>
          <w:rFonts w:ascii="Times New Roman" w:hint="eastAsia"/>
          <w:color w:val="000000"/>
          <w:szCs w:val="22"/>
        </w:rPr>
        <w:t xml:space="preserve"> </w:t>
      </w:r>
      <w:r w:rsidR="00314772" w:rsidRPr="00314772">
        <w:rPr>
          <w:rFonts w:ascii="Times New Roman" w:hint="eastAsia"/>
          <w:color w:val="000000"/>
          <w:szCs w:val="22"/>
        </w:rPr>
        <w:t>尚成嘉</w:t>
      </w:r>
      <w:r w:rsidR="00314772" w:rsidRPr="00314772">
        <w:rPr>
          <w:rFonts w:ascii="Times New Roman" w:hint="eastAsia"/>
          <w:color w:val="000000"/>
          <w:szCs w:val="22"/>
        </w:rPr>
        <w:t xml:space="preserve"> </w:t>
      </w:r>
      <w:r w:rsidR="00314772" w:rsidRPr="00314772">
        <w:rPr>
          <w:rFonts w:ascii="Times New Roman" w:hint="eastAsia"/>
          <w:color w:val="000000"/>
          <w:szCs w:val="22"/>
        </w:rPr>
        <w:t>李秀程</w:t>
      </w:r>
      <w:r w:rsidR="00314772" w:rsidRPr="00314772">
        <w:rPr>
          <w:rFonts w:ascii="Times New Roman" w:hint="eastAsia"/>
          <w:color w:val="000000"/>
          <w:szCs w:val="22"/>
        </w:rPr>
        <w:t xml:space="preserve"> </w:t>
      </w:r>
      <w:r w:rsidR="00314772" w:rsidRPr="00314772">
        <w:rPr>
          <w:rFonts w:ascii="Times New Roman" w:hint="eastAsia"/>
          <w:color w:val="000000"/>
          <w:szCs w:val="22"/>
        </w:rPr>
        <w:t>夏佃秀</w:t>
      </w:r>
      <w:r w:rsidR="00314772" w:rsidRPr="00314772">
        <w:rPr>
          <w:rFonts w:ascii="Times New Roman" w:hint="eastAsia"/>
          <w:color w:val="000000"/>
          <w:szCs w:val="22"/>
        </w:rPr>
        <w:t xml:space="preserve"> </w:t>
      </w:r>
      <w:r w:rsidR="00314772" w:rsidRPr="00314772">
        <w:rPr>
          <w:rFonts w:ascii="Times New Roman" w:hint="eastAsia"/>
          <w:color w:val="000000"/>
          <w:szCs w:val="22"/>
        </w:rPr>
        <w:t>孙卫华</w:t>
      </w:r>
      <w:r w:rsidR="00314772" w:rsidRPr="00314772">
        <w:rPr>
          <w:rFonts w:ascii="Times New Roman" w:hint="eastAsia"/>
          <w:color w:val="000000"/>
          <w:szCs w:val="22"/>
        </w:rPr>
        <w:t xml:space="preserve"> </w:t>
      </w:r>
      <w:r w:rsidR="00314772" w:rsidRPr="00314772">
        <w:rPr>
          <w:rFonts w:ascii="Times New Roman" w:hint="eastAsia"/>
          <w:color w:val="000000"/>
          <w:szCs w:val="22"/>
        </w:rPr>
        <w:t>李国宝</w:t>
      </w:r>
      <w:bookmarkStart w:id="23" w:name="_GoBack"/>
      <w:bookmarkEnd w:id="23"/>
    </w:p>
    <w:p w14:paraId="7034CFF9" w14:textId="77777777" w:rsidR="00171F3F" w:rsidRDefault="00171F3F">
      <w:pPr>
        <w:pStyle w:val="afff2"/>
        <w:spacing w:line="360" w:lineRule="auto"/>
        <w:rPr>
          <w:rFonts w:ascii="Times New Roman"/>
        </w:rPr>
      </w:pPr>
    </w:p>
    <w:p w14:paraId="351B66F6" w14:textId="77777777" w:rsidR="00171F3F" w:rsidRPr="00CE3A76" w:rsidRDefault="00171F3F">
      <w:pPr>
        <w:pStyle w:val="afff2"/>
        <w:spacing w:line="360" w:lineRule="auto"/>
        <w:rPr>
          <w:rFonts w:ascii="Times New Roman"/>
        </w:rPr>
        <w:sectPr w:rsidR="00171F3F" w:rsidRPr="00CE3A76">
          <w:headerReference w:type="default" r:id="rId11"/>
          <w:footerReference w:type="default" r:id="rId12"/>
          <w:pgSz w:w="11906" w:h="16838"/>
          <w:pgMar w:top="1418" w:right="1134" w:bottom="1134" w:left="1418" w:header="1418" w:footer="1134" w:gutter="0"/>
          <w:pgNumType w:fmt="upperRoman" w:start="1"/>
          <w:cols w:space="720"/>
          <w:formProt w:val="0"/>
          <w:docGrid w:type="lines" w:linePitch="312"/>
        </w:sectPr>
      </w:pPr>
    </w:p>
    <w:p w14:paraId="7749CD98" w14:textId="77777777" w:rsidR="00171F3F" w:rsidRDefault="00880368" w:rsidP="0089530D">
      <w:pPr>
        <w:ind w:left="0"/>
        <w:jc w:val="center"/>
        <w:rPr>
          <w:rFonts w:ascii="黑体" w:eastAsia="黑体" w:hAnsi="黑体" w:cs="黑体"/>
          <w:sz w:val="36"/>
          <w:szCs w:val="36"/>
        </w:rPr>
      </w:pPr>
      <w:r w:rsidRPr="00880368">
        <w:rPr>
          <w:rFonts w:ascii="黑体" w:eastAsia="黑体" w:hAnsi="黑体" w:cs="黑体" w:hint="eastAsia"/>
          <w:sz w:val="36"/>
          <w:szCs w:val="36"/>
        </w:rPr>
        <w:lastRenderedPageBreak/>
        <w:t>船体结构用钢激光电弧复合焊接工艺规范</w:t>
      </w:r>
    </w:p>
    <w:p w14:paraId="65614570" w14:textId="77777777" w:rsidR="00171F3F" w:rsidRDefault="00CE3A76" w:rsidP="002247E5">
      <w:pPr>
        <w:pStyle w:val="a"/>
        <w:numPr>
          <w:ilvl w:val="0"/>
          <w:numId w:val="19"/>
        </w:numPr>
        <w:spacing w:before="312" w:after="312"/>
        <w:outlineLvl w:val="0"/>
      </w:pPr>
      <w:bookmarkStart w:id="24" w:name="_Toc22451398"/>
      <w:bookmarkStart w:id="25" w:name="_Toc519540469"/>
      <w:bookmarkStart w:id="26" w:name="_Toc27801"/>
      <w:bookmarkStart w:id="27" w:name="_Toc22451357"/>
      <w:bookmarkStart w:id="28" w:name="_Toc531638001"/>
      <w:bookmarkStart w:id="29" w:name="_Toc11487"/>
      <w:bookmarkStart w:id="30" w:name="_Toc531637966"/>
      <w:bookmarkStart w:id="31" w:name="_Toc10082"/>
      <w:bookmarkStart w:id="32" w:name="_Toc519540535"/>
      <w:bookmarkStart w:id="33" w:name="_Toc520052958"/>
      <w:bookmarkStart w:id="34" w:name="_Toc519233758"/>
      <w:bookmarkStart w:id="35" w:name="_Toc520052899"/>
      <w:bookmarkStart w:id="36" w:name="_Toc111304446"/>
      <w:r>
        <w:t>范围</w:t>
      </w:r>
      <w:bookmarkEnd w:id="24"/>
      <w:bookmarkEnd w:id="25"/>
      <w:bookmarkEnd w:id="26"/>
      <w:bookmarkEnd w:id="27"/>
      <w:bookmarkEnd w:id="28"/>
      <w:bookmarkEnd w:id="29"/>
      <w:bookmarkEnd w:id="30"/>
      <w:bookmarkEnd w:id="31"/>
      <w:bookmarkEnd w:id="32"/>
      <w:bookmarkEnd w:id="33"/>
      <w:bookmarkEnd w:id="34"/>
      <w:bookmarkEnd w:id="35"/>
      <w:bookmarkEnd w:id="36"/>
    </w:p>
    <w:p w14:paraId="5FB1D864" w14:textId="77777777" w:rsidR="00880368" w:rsidRDefault="00880368">
      <w:pPr>
        <w:spacing w:line="360" w:lineRule="auto"/>
        <w:ind w:left="0" w:firstLineChars="200" w:firstLine="420"/>
        <w:rPr>
          <w:rFonts w:ascii="宋体" w:hAnsi="宋体"/>
        </w:rPr>
      </w:pPr>
      <w:r w:rsidRPr="00880368">
        <w:rPr>
          <w:rFonts w:ascii="宋体" w:hAnsi="宋体" w:hint="eastAsia"/>
        </w:rPr>
        <w:t>本文件包含了对激光电弧复合焊接程序的评定和激光电弧复合焊接的车间认可。它构成了船舶制造和海洋结构施工中激光电弧复合焊接工艺的基本要求和应用范围</w:t>
      </w:r>
      <w:r>
        <w:rPr>
          <w:rFonts w:ascii="宋体" w:hAnsi="宋体" w:hint="eastAsia"/>
        </w:rPr>
        <w:t>。</w:t>
      </w:r>
    </w:p>
    <w:p w14:paraId="44C75416" w14:textId="77777777" w:rsidR="00171F3F" w:rsidRDefault="00880368">
      <w:pPr>
        <w:spacing w:line="360" w:lineRule="auto"/>
        <w:ind w:left="0" w:firstLineChars="200" w:firstLine="420"/>
        <w:rPr>
          <w:rFonts w:ascii="宋体" w:hAnsi="宋体"/>
        </w:rPr>
      </w:pPr>
      <w:r w:rsidRPr="00880368">
        <w:rPr>
          <w:rFonts w:ascii="宋体" w:hAnsi="宋体" w:hint="eastAsia"/>
        </w:rPr>
        <w:t>该文件适合于 EH36 及以下级别的高强度和普通强度钢板。</w:t>
      </w:r>
    </w:p>
    <w:p w14:paraId="2DF1AF14" w14:textId="77777777" w:rsidR="00171F3F" w:rsidRDefault="00CE3A76" w:rsidP="002247E5">
      <w:pPr>
        <w:pStyle w:val="a"/>
        <w:numPr>
          <w:ilvl w:val="0"/>
          <w:numId w:val="19"/>
        </w:numPr>
        <w:spacing w:before="312" w:after="312"/>
        <w:outlineLvl w:val="0"/>
      </w:pPr>
      <w:bookmarkStart w:id="37" w:name="_Toc22451358"/>
      <w:bookmarkStart w:id="38" w:name="_Toc520052959"/>
      <w:bookmarkStart w:id="39" w:name="_Toc9681"/>
      <w:bookmarkStart w:id="40" w:name="_Toc18708"/>
      <w:bookmarkStart w:id="41" w:name="_Toc519540536"/>
      <w:bookmarkStart w:id="42" w:name="_Toc519540470"/>
      <w:bookmarkStart w:id="43" w:name="_Toc22451399"/>
      <w:bookmarkStart w:id="44" w:name="_Toc520052900"/>
      <w:bookmarkStart w:id="45" w:name="_Toc519233759"/>
      <w:bookmarkStart w:id="46" w:name="_Toc5447"/>
      <w:bookmarkStart w:id="47" w:name="_Toc531638002"/>
      <w:bookmarkStart w:id="48" w:name="_Toc531637967"/>
      <w:bookmarkStart w:id="49" w:name="_Toc111304447"/>
      <w:r>
        <w:t>规范性引用文件</w:t>
      </w:r>
      <w:bookmarkEnd w:id="37"/>
      <w:bookmarkEnd w:id="38"/>
      <w:bookmarkEnd w:id="39"/>
      <w:bookmarkEnd w:id="40"/>
      <w:bookmarkEnd w:id="41"/>
      <w:bookmarkEnd w:id="42"/>
      <w:bookmarkEnd w:id="43"/>
      <w:bookmarkEnd w:id="44"/>
      <w:bookmarkEnd w:id="45"/>
      <w:bookmarkEnd w:id="46"/>
      <w:bookmarkEnd w:id="47"/>
      <w:bookmarkEnd w:id="48"/>
      <w:bookmarkEnd w:id="49"/>
    </w:p>
    <w:p w14:paraId="2BD65900" w14:textId="77777777" w:rsidR="00171F3F" w:rsidRDefault="00880368">
      <w:pPr>
        <w:pStyle w:val="afff2"/>
        <w:spacing w:line="360" w:lineRule="auto"/>
        <w:ind w:left="0"/>
        <w:rPr>
          <w:rFonts w:hAnsi="宋体"/>
        </w:rPr>
      </w:pPr>
      <w:r w:rsidRPr="00880368">
        <w:rPr>
          <w:rFonts w:hAnsi="宋体" w:hint="eastAsia"/>
        </w:rPr>
        <w:t>下列文件对于本文件的应用是必不可少的，凡是注日期的引用文件，仅注日期的版本适用于本文件。凡是不注日期的引用文件，其最新版本（包括所有的修改单）适用于本文件。</w:t>
      </w:r>
    </w:p>
    <w:p w14:paraId="4B0F8C6C" w14:textId="77777777" w:rsidR="00880368" w:rsidRPr="00880368" w:rsidRDefault="00880368" w:rsidP="00880368">
      <w:pPr>
        <w:pStyle w:val="afff2"/>
        <w:spacing w:line="360" w:lineRule="auto"/>
        <w:ind w:left="0"/>
        <w:rPr>
          <w:rFonts w:hAnsi="宋体"/>
          <w:szCs w:val="22"/>
        </w:rPr>
      </w:pPr>
      <w:r w:rsidRPr="00880368">
        <w:rPr>
          <w:rFonts w:hAnsi="宋体" w:hint="eastAsia"/>
          <w:szCs w:val="22"/>
        </w:rPr>
        <w:t>DNVGL-CG-0287:2015 激光电弧复合焊接</w:t>
      </w:r>
    </w:p>
    <w:p w14:paraId="2E8AE6A6" w14:textId="77777777" w:rsidR="00880368" w:rsidRPr="00880368" w:rsidRDefault="00880368" w:rsidP="00880368">
      <w:pPr>
        <w:pStyle w:val="afff2"/>
        <w:spacing w:line="360" w:lineRule="auto"/>
        <w:ind w:left="0"/>
        <w:rPr>
          <w:rFonts w:hAnsi="宋体"/>
          <w:szCs w:val="22"/>
        </w:rPr>
      </w:pPr>
      <w:r w:rsidRPr="00880368">
        <w:rPr>
          <w:rFonts w:hAnsi="宋体" w:hint="eastAsia"/>
          <w:szCs w:val="22"/>
        </w:rPr>
        <w:t>ISO 15609-6 金属材料焊接工艺规范和评定-焊接工艺规程 第 6 部分 激光电弧复合焊接</w:t>
      </w:r>
    </w:p>
    <w:p w14:paraId="21BF38DC" w14:textId="77777777" w:rsidR="00880368" w:rsidRPr="00880368" w:rsidRDefault="00880368" w:rsidP="00880368">
      <w:pPr>
        <w:pStyle w:val="afff2"/>
        <w:spacing w:line="360" w:lineRule="auto"/>
        <w:ind w:left="0"/>
        <w:rPr>
          <w:rFonts w:hAnsi="宋体"/>
          <w:szCs w:val="22"/>
        </w:rPr>
      </w:pPr>
      <w:r w:rsidRPr="00880368">
        <w:rPr>
          <w:rFonts w:hAnsi="宋体" w:hint="eastAsia"/>
          <w:szCs w:val="22"/>
        </w:rPr>
        <w:t>ISO 15614-14 金属材料焊接工艺规范和评定-焊接工艺评定试验 第 14 部分钢、镍及镍合金的激光电弧复合焊接</w:t>
      </w:r>
    </w:p>
    <w:p w14:paraId="3FF51F7F" w14:textId="77777777" w:rsidR="00171F3F" w:rsidRDefault="00880368" w:rsidP="00880368">
      <w:pPr>
        <w:pStyle w:val="afff2"/>
        <w:spacing w:line="360" w:lineRule="auto"/>
        <w:ind w:left="0"/>
        <w:rPr>
          <w:rFonts w:hAnsi="宋体"/>
          <w:szCs w:val="22"/>
          <w:lang w:val="zh-TW" w:eastAsia="zh-TW"/>
        </w:rPr>
      </w:pPr>
      <w:r w:rsidRPr="00880368">
        <w:rPr>
          <w:rFonts w:hAnsi="宋体" w:hint="eastAsia"/>
          <w:szCs w:val="22"/>
        </w:rPr>
        <w:t>CCS 材料与焊接规范</w:t>
      </w:r>
    </w:p>
    <w:p w14:paraId="39C6213B" w14:textId="77777777" w:rsidR="00171F3F" w:rsidRDefault="00CE3A76" w:rsidP="002247E5">
      <w:pPr>
        <w:pStyle w:val="a"/>
        <w:numPr>
          <w:ilvl w:val="0"/>
          <w:numId w:val="19"/>
        </w:numPr>
        <w:spacing w:before="312" w:after="312"/>
        <w:outlineLvl w:val="0"/>
      </w:pPr>
      <w:bookmarkStart w:id="50" w:name="_Toc519233760"/>
      <w:bookmarkStart w:id="51" w:name="_Toc31268"/>
      <w:bookmarkStart w:id="52" w:name="_Toc5739"/>
      <w:bookmarkStart w:id="53" w:name="_Toc17869"/>
      <w:bookmarkStart w:id="54" w:name="_Toc111304448"/>
      <w:bookmarkEnd w:id="50"/>
      <w:r>
        <w:rPr>
          <w:rFonts w:hint="eastAsia"/>
        </w:rPr>
        <w:t>术语和定义</w:t>
      </w:r>
      <w:bookmarkEnd w:id="51"/>
      <w:bookmarkEnd w:id="52"/>
      <w:bookmarkEnd w:id="53"/>
      <w:bookmarkEnd w:id="54"/>
    </w:p>
    <w:p w14:paraId="00F5A2F6" w14:textId="77777777" w:rsidR="00171F3F" w:rsidRDefault="00CE3A76">
      <w:pPr>
        <w:pStyle w:val="afff2"/>
        <w:spacing w:line="360" w:lineRule="auto"/>
        <w:ind w:left="0"/>
      </w:pPr>
      <w:r>
        <w:rPr>
          <w:rFonts w:ascii="Times New Roman" w:hint="eastAsia"/>
        </w:rPr>
        <w:t>下列术语和定义适用于本标准</w:t>
      </w:r>
    </w:p>
    <w:p w14:paraId="6A7978A1" w14:textId="77777777" w:rsidR="00171F3F" w:rsidRDefault="00171F3F" w:rsidP="002247E5">
      <w:pPr>
        <w:pStyle w:val="a0"/>
        <w:spacing w:before="156" w:after="156"/>
      </w:pPr>
      <w:bookmarkStart w:id="55" w:name="_Toc18648"/>
      <w:bookmarkStart w:id="56" w:name="_Toc519540472"/>
      <w:bookmarkStart w:id="57" w:name="_Toc22451360"/>
      <w:bookmarkStart w:id="58" w:name="_Toc22451401"/>
      <w:bookmarkStart w:id="59" w:name="_Toc531637969"/>
      <w:bookmarkStart w:id="60" w:name="_Toc531638004"/>
      <w:bookmarkStart w:id="61" w:name="_Toc520052961"/>
      <w:bookmarkStart w:id="62" w:name="_Toc520052902"/>
      <w:bookmarkStart w:id="63" w:name="_Toc519540538"/>
    </w:p>
    <w:p w14:paraId="51159A58" w14:textId="77777777" w:rsidR="00880368" w:rsidRPr="00880368" w:rsidRDefault="00880368" w:rsidP="002247E5">
      <w:pPr>
        <w:pStyle w:val="a0"/>
        <w:numPr>
          <w:ilvl w:val="1"/>
          <w:numId w:val="0"/>
        </w:numPr>
        <w:spacing w:before="156" w:after="156"/>
        <w:ind w:firstLineChars="200" w:firstLine="420"/>
      </w:pPr>
      <w:r w:rsidRPr="00880368">
        <w:rPr>
          <w:rFonts w:hint="eastAsia"/>
        </w:rPr>
        <w:t>复合焊接</w:t>
      </w:r>
      <w:r>
        <w:rPr>
          <w:rFonts w:hint="eastAsia"/>
        </w:rPr>
        <w:t xml:space="preserve"> Hybrid welding</w:t>
      </w:r>
    </w:p>
    <w:p w14:paraId="44CF0FD0" w14:textId="77777777" w:rsidR="00880368" w:rsidRDefault="00880368" w:rsidP="00880368">
      <w:pPr>
        <w:pStyle w:val="afff2"/>
        <w:spacing w:line="360" w:lineRule="auto"/>
        <w:ind w:left="0" w:firstLineChars="0"/>
      </w:pPr>
      <w:r>
        <w:rPr>
          <w:rFonts w:hint="eastAsia"/>
        </w:rPr>
        <w:t>采用两种（或两种以上）热源形成同一个熔池进行焊接的工艺方法，见图 1.</w:t>
      </w:r>
    </w:p>
    <w:p w14:paraId="569E8357" w14:textId="77777777" w:rsidR="002247E5" w:rsidRDefault="002247E5" w:rsidP="00880368">
      <w:pPr>
        <w:pStyle w:val="afff2"/>
        <w:spacing w:line="360" w:lineRule="auto"/>
        <w:ind w:left="0" w:firstLineChars="0"/>
        <w:rPr>
          <w:sz w:val="4"/>
        </w:rPr>
      </w:pPr>
    </w:p>
    <w:p w14:paraId="1A218636" w14:textId="77777777" w:rsidR="002247E5" w:rsidRDefault="002247E5">
      <w:pPr>
        <w:widowControl/>
        <w:ind w:left="0"/>
        <w:jc w:val="left"/>
        <w:rPr>
          <w:rFonts w:ascii="宋体"/>
          <w:kern w:val="0"/>
          <w:szCs w:val="20"/>
        </w:rPr>
      </w:pPr>
      <w:r>
        <w:br w:type="page"/>
      </w:r>
    </w:p>
    <w:p w14:paraId="132684C9" w14:textId="77777777" w:rsidR="002247E5" w:rsidRDefault="002247E5" w:rsidP="002247E5">
      <w:pPr>
        <w:pStyle w:val="afff2"/>
        <w:spacing w:line="360" w:lineRule="auto"/>
        <w:ind w:left="0" w:firstLineChars="0"/>
        <w:jc w:val="center"/>
      </w:pPr>
      <w:r w:rsidRPr="002247E5">
        <w:rPr>
          <w:noProof/>
        </w:rPr>
        <w:lastRenderedPageBreak/>
        <w:drawing>
          <wp:anchor distT="0" distB="0" distL="114300" distR="114300" simplePos="0" relativeHeight="251666432" behindDoc="0" locked="0" layoutInCell="1" allowOverlap="1" wp14:anchorId="4E8DDAC3" wp14:editId="330E3E89">
            <wp:simplePos x="0" y="0"/>
            <wp:positionH relativeFrom="column">
              <wp:posOffset>1626870</wp:posOffset>
            </wp:positionH>
            <wp:positionV relativeFrom="paragraph">
              <wp:posOffset>-277495</wp:posOffset>
            </wp:positionV>
            <wp:extent cx="3061970" cy="1860550"/>
            <wp:effectExtent l="0" t="0" r="5080" b="635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61970" cy="1860550"/>
                    </a:xfrm>
                    <a:prstGeom prst="rect">
                      <a:avLst/>
                    </a:prstGeom>
                  </pic:spPr>
                </pic:pic>
              </a:graphicData>
            </a:graphic>
            <wp14:sizeRelH relativeFrom="page">
              <wp14:pctWidth>0</wp14:pctWidth>
            </wp14:sizeRelH>
            <wp14:sizeRelV relativeFrom="page">
              <wp14:pctHeight>0</wp14:pctHeight>
            </wp14:sizeRelV>
          </wp:anchor>
        </w:drawing>
      </w:r>
    </w:p>
    <w:p w14:paraId="47C0CB37" w14:textId="77777777" w:rsidR="002247E5" w:rsidRDefault="002247E5" w:rsidP="002247E5">
      <w:pPr>
        <w:pStyle w:val="afff2"/>
        <w:spacing w:line="360" w:lineRule="auto"/>
        <w:ind w:left="0" w:firstLineChars="0"/>
        <w:jc w:val="center"/>
      </w:pPr>
    </w:p>
    <w:p w14:paraId="4A40DFA9" w14:textId="77777777" w:rsidR="00880368" w:rsidRPr="002247E5" w:rsidRDefault="00880368" w:rsidP="002247E5">
      <w:pPr>
        <w:pStyle w:val="afff2"/>
        <w:spacing w:line="360" w:lineRule="auto"/>
        <w:ind w:left="0" w:firstLineChars="0"/>
        <w:jc w:val="center"/>
      </w:pPr>
    </w:p>
    <w:p w14:paraId="35D138B4" w14:textId="77777777" w:rsidR="00880368" w:rsidRDefault="00880368" w:rsidP="002247E5">
      <w:pPr>
        <w:pStyle w:val="afffffff2"/>
        <w:spacing w:before="37" w:line="268" w:lineRule="auto"/>
        <w:ind w:left="112" w:firstLine="1050"/>
        <w:rPr>
          <w:rFonts w:ascii="宋体" w:eastAsia="宋体"/>
          <w:lang w:eastAsia="zh-CN"/>
        </w:rPr>
      </w:pPr>
      <w:r>
        <w:rPr>
          <w:rFonts w:ascii="宋体" w:eastAsia="宋体" w:hint="eastAsia"/>
          <w:lang w:eastAsia="zh-CN"/>
        </w:rPr>
        <w:t>说明：</w:t>
      </w:r>
    </w:p>
    <w:p w14:paraId="367910DB" w14:textId="77777777" w:rsidR="00880368" w:rsidRDefault="00880368" w:rsidP="002247E5">
      <w:pPr>
        <w:pStyle w:val="afffffff2"/>
        <w:spacing w:before="37" w:line="268" w:lineRule="auto"/>
        <w:ind w:left="112" w:firstLine="1050"/>
        <w:rPr>
          <w:rFonts w:ascii="宋体" w:eastAsia="宋体"/>
          <w:lang w:eastAsia="zh-CN"/>
        </w:rPr>
      </w:pPr>
      <w:r>
        <w:rPr>
          <w:rFonts w:ascii="宋体" w:eastAsia="宋体" w:hint="eastAsia"/>
          <w:lang w:eastAsia="zh-CN"/>
        </w:rPr>
        <w:t>1— 激光束；</w:t>
      </w:r>
    </w:p>
    <w:p w14:paraId="5D8875A0" w14:textId="77777777" w:rsidR="00880368" w:rsidRDefault="00880368" w:rsidP="002247E5">
      <w:pPr>
        <w:pStyle w:val="afffffff2"/>
        <w:spacing w:before="37" w:line="268" w:lineRule="auto"/>
        <w:ind w:left="112" w:firstLine="1050"/>
        <w:rPr>
          <w:rFonts w:ascii="宋体" w:eastAsia="宋体"/>
          <w:lang w:eastAsia="zh-CN"/>
        </w:rPr>
      </w:pPr>
      <w:r>
        <w:rPr>
          <w:rFonts w:ascii="宋体" w:eastAsia="宋体" w:hint="eastAsia"/>
          <w:lang w:eastAsia="zh-CN"/>
        </w:rPr>
        <w:t>2— 焊枪。</w:t>
      </w:r>
    </w:p>
    <w:p w14:paraId="571573AF" w14:textId="77777777" w:rsidR="00880368" w:rsidRDefault="00880368" w:rsidP="002247E5">
      <w:pPr>
        <w:pStyle w:val="afffffff2"/>
        <w:spacing w:before="21"/>
        <w:ind w:right="21"/>
        <w:jc w:val="center"/>
        <w:rPr>
          <w:rFonts w:ascii="宋体" w:eastAsia="宋体"/>
          <w:lang w:eastAsia="zh-CN"/>
        </w:rPr>
      </w:pPr>
      <w:r>
        <w:rPr>
          <w:rFonts w:ascii="宋体" w:eastAsia="宋体" w:hint="eastAsia"/>
          <w:lang w:eastAsia="zh-CN"/>
        </w:rPr>
        <w:t xml:space="preserve">图 </w:t>
      </w:r>
      <w:r>
        <w:rPr>
          <w:lang w:eastAsia="zh-CN"/>
        </w:rPr>
        <w:t xml:space="preserve">1 </w:t>
      </w:r>
      <w:r>
        <w:rPr>
          <w:rFonts w:ascii="宋体" w:eastAsia="宋体" w:hint="eastAsia"/>
          <w:lang w:eastAsia="zh-CN"/>
        </w:rPr>
        <w:t>激光电弧复合焊接示意图</w:t>
      </w:r>
    </w:p>
    <w:p w14:paraId="6D03E460" w14:textId="77777777" w:rsidR="00171F3F" w:rsidRDefault="00171F3F" w:rsidP="002247E5">
      <w:pPr>
        <w:pStyle w:val="a0"/>
        <w:spacing w:before="156" w:after="156"/>
      </w:pPr>
      <w:bookmarkStart w:id="64" w:name="_Toc1281"/>
      <w:bookmarkEnd w:id="55"/>
    </w:p>
    <w:p w14:paraId="495D34FB" w14:textId="77777777" w:rsidR="00880368" w:rsidRDefault="00880368" w:rsidP="002247E5">
      <w:pPr>
        <w:pStyle w:val="a0"/>
        <w:numPr>
          <w:ilvl w:val="1"/>
          <w:numId w:val="0"/>
        </w:numPr>
        <w:spacing w:before="156" w:after="156"/>
        <w:ind w:firstLineChars="200" w:firstLine="420"/>
        <w:rPr>
          <w:rFonts w:hAnsi="黑体" w:cs="黑体"/>
        </w:rPr>
      </w:pPr>
      <w:r>
        <w:rPr>
          <w:rFonts w:hAnsi="黑体" w:cs="黑体" w:hint="eastAsia"/>
        </w:rPr>
        <w:t>上升</w:t>
      </w:r>
      <w:r w:rsidR="002247E5">
        <w:rPr>
          <w:rFonts w:hAnsi="黑体" w:cs="黑体" w:hint="eastAsia"/>
        </w:rPr>
        <w:t xml:space="preserve"> </w:t>
      </w:r>
      <w:r w:rsidR="002247E5" w:rsidRPr="002247E5">
        <w:rPr>
          <w:rFonts w:hAnsi="黑体" w:cs="黑体"/>
        </w:rPr>
        <w:t>Slope up</w:t>
      </w:r>
    </w:p>
    <w:p w14:paraId="17C64FA3" w14:textId="77777777" w:rsidR="00880368" w:rsidRDefault="00880368" w:rsidP="00880368">
      <w:pPr>
        <w:pStyle w:val="afff2"/>
        <w:spacing w:line="360" w:lineRule="auto"/>
        <w:ind w:left="0"/>
      </w:pPr>
      <w:r>
        <w:rPr>
          <w:rFonts w:hint="eastAsia"/>
        </w:rPr>
        <w:t>在焊接开始时，束流功率有节制性的增加。</w:t>
      </w:r>
    </w:p>
    <w:p w14:paraId="2DE9DA83" w14:textId="77777777" w:rsidR="00171F3F" w:rsidRDefault="00171F3F" w:rsidP="002247E5">
      <w:pPr>
        <w:pStyle w:val="a0"/>
        <w:spacing w:before="156" w:after="156"/>
      </w:pPr>
      <w:bookmarkStart w:id="65" w:name="_Toc11737"/>
      <w:bookmarkEnd w:id="64"/>
    </w:p>
    <w:p w14:paraId="7F709333" w14:textId="77777777" w:rsidR="002247E5" w:rsidRDefault="002247E5" w:rsidP="002247E5">
      <w:pPr>
        <w:pStyle w:val="a0"/>
        <w:numPr>
          <w:ilvl w:val="1"/>
          <w:numId w:val="0"/>
        </w:numPr>
        <w:spacing w:before="156" w:after="156"/>
        <w:ind w:firstLineChars="200" w:firstLine="420"/>
      </w:pPr>
      <w:r>
        <w:rPr>
          <w:rFonts w:hint="eastAsia"/>
        </w:rPr>
        <w:t xml:space="preserve">下降 </w:t>
      </w:r>
      <w:r w:rsidRPr="002247E5">
        <w:t>Slope down</w:t>
      </w:r>
    </w:p>
    <w:p w14:paraId="1CCC13E6" w14:textId="77777777" w:rsidR="002247E5" w:rsidRPr="002247E5" w:rsidRDefault="002247E5" w:rsidP="002247E5">
      <w:pPr>
        <w:pStyle w:val="afff2"/>
        <w:spacing w:line="360" w:lineRule="auto"/>
        <w:ind w:left="0" w:firstLineChars="0"/>
        <w:rPr>
          <w:rFonts w:ascii="Times New Roman"/>
          <w:szCs w:val="21"/>
        </w:rPr>
      </w:pPr>
      <w:r w:rsidRPr="002247E5">
        <w:rPr>
          <w:rFonts w:ascii="Times New Roman" w:hint="eastAsia"/>
          <w:szCs w:val="21"/>
        </w:rPr>
        <w:t>在焊接过程将要结束时，束流功率有节制性的减小。</w:t>
      </w:r>
    </w:p>
    <w:p w14:paraId="5C242882" w14:textId="77777777" w:rsidR="00171F3F" w:rsidRDefault="00171F3F" w:rsidP="002247E5">
      <w:pPr>
        <w:pStyle w:val="a0"/>
        <w:spacing w:before="156" w:after="156"/>
      </w:pPr>
      <w:bookmarkStart w:id="66" w:name="_Toc21447"/>
      <w:bookmarkEnd w:id="65"/>
    </w:p>
    <w:bookmarkEnd w:id="66"/>
    <w:p w14:paraId="7232E7C7" w14:textId="77777777" w:rsidR="002247E5" w:rsidRPr="002247E5" w:rsidRDefault="002247E5" w:rsidP="002247E5">
      <w:pPr>
        <w:pStyle w:val="a0"/>
        <w:numPr>
          <w:ilvl w:val="1"/>
          <w:numId w:val="0"/>
        </w:numPr>
        <w:spacing w:before="156" w:after="156"/>
        <w:ind w:firstLineChars="200" w:firstLine="420"/>
      </w:pPr>
      <w:r w:rsidRPr="002247E5">
        <w:rPr>
          <w:rFonts w:hint="eastAsia"/>
        </w:rPr>
        <w:t>工作距离</w:t>
      </w:r>
      <w:r>
        <w:rPr>
          <w:rFonts w:hint="eastAsia"/>
        </w:rPr>
        <w:t xml:space="preserve"> Working distance</w:t>
      </w:r>
    </w:p>
    <w:p w14:paraId="25F2B45B" w14:textId="77777777" w:rsidR="002247E5" w:rsidRDefault="002247E5" w:rsidP="002247E5">
      <w:pPr>
        <w:pStyle w:val="afff2"/>
        <w:spacing w:line="360" w:lineRule="auto"/>
        <w:ind w:left="0" w:firstLineChars="0"/>
      </w:pPr>
      <w:r>
        <w:rPr>
          <w:rFonts w:hint="eastAsia"/>
        </w:rPr>
        <w:t>工件表面与设备标准基准点（该点相对实际聚焦镜或反射镜中心而言）之间的距离。</w:t>
      </w:r>
    </w:p>
    <w:p w14:paraId="6AFDD2A9" w14:textId="77777777" w:rsidR="002247E5" w:rsidRDefault="002247E5" w:rsidP="002247E5">
      <w:pPr>
        <w:pStyle w:val="a0"/>
        <w:spacing w:before="156" w:after="156"/>
      </w:pPr>
      <w:bookmarkStart w:id="67" w:name="_Toc5963"/>
    </w:p>
    <w:p w14:paraId="268781CD" w14:textId="77777777" w:rsidR="002247E5" w:rsidRDefault="002247E5" w:rsidP="002247E5">
      <w:pPr>
        <w:pStyle w:val="a0"/>
        <w:numPr>
          <w:ilvl w:val="1"/>
          <w:numId w:val="0"/>
        </w:numPr>
        <w:spacing w:before="156" w:after="156"/>
        <w:ind w:firstLineChars="200" w:firstLine="420"/>
      </w:pPr>
      <w:r w:rsidRPr="002247E5">
        <w:rPr>
          <w:rFonts w:hint="eastAsia"/>
        </w:rPr>
        <w:t>几何参数</w:t>
      </w:r>
      <w:r>
        <w:rPr>
          <w:rFonts w:hint="eastAsia"/>
        </w:rPr>
        <w:t xml:space="preserve"> Geometrical parameters</w:t>
      </w:r>
    </w:p>
    <w:p w14:paraId="378B583C" w14:textId="77777777" w:rsidR="00171F3F" w:rsidRDefault="002247E5">
      <w:pPr>
        <w:pStyle w:val="afff2"/>
        <w:spacing w:line="360" w:lineRule="auto"/>
        <w:ind w:left="0" w:firstLineChars="0"/>
        <w:rPr>
          <w:rFonts w:ascii="Times New Roman"/>
          <w:szCs w:val="21"/>
        </w:rPr>
      </w:pPr>
      <w:r>
        <w:rPr>
          <w:rFonts w:hint="eastAsia"/>
        </w:rPr>
        <w:t>描述激光束、电弧与焊接接头的相对位置的所有尺寸及公差。</w:t>
      </w:r>
      <w:bookmarkEnd w:id="67"/>
    </w:p>
    <w:p w14:paraId="77C4C990" w14:textId="77777777" w:rsidR="00171F3F" w:rsidRDefault="00171F3F" w:rsidP="002247E5">
      <w:pPr>
        <w:pStyle w:val="a0"/>
        <w:spacing w:before="156" w:after="156"/>
      </w:pPr>
    </w:p>
    <w:p w14:paraId="53759C5C" w14:textId="77777777" w:rsidR="002247E5" w:rsidRPr="002247E5" w:rsidRDefault="002247E5" w:rsidP="002247E5">
      <w:pPr>
        <w:pStyle w:val="a0"/>
        <w:numPr>
          <w:ilvl w:val="1"/>
          <w:numId w:val="0"/>
        </w:numPr>
        <w:spacing w:before="156" w:after="156"/>
        <w:ind w:firstLineChars="200" w:firstLine="420"/>
      </w:pPr>
      <w:r w:rsidRPr="002247E5">
        <w:rPr>
          <w:rFonts w:hint="eastAsia"/>
        </w:rPr>
        <w:t>定位焊道</w:t>
      </w:r>
      <w:r>
        <w:rPr>
          <w:rFonts w:hint="eastAsia"/>
        </w:rPr>
        <w:t xml:space="preserve"> Tracking run</w:t>
      </w:r>
    </w:p>
    <w:p w14:paraId="61FC69C9" w14:textId="77777777" w:rsidR="002247E5" w:rsidRDefault="002247E5" w:rsidP="002247E5">
      <w:pPr>
        <w:pStyle w:val="afff2"/>
        <w:spacing w:line="360" w:lineRule="auto"/>
        <w:ind w:left="0" w:firstLineChars="0"/>
      </w:pPr>
      <w:r>
        <w:rPr>
          <w:rFonts w:hint="eastAsia"/>
        </w:rPr>
        <w:t>为将被焊件固定在合适的位置，而在正式焊接之前焊制的焊道。</w:t>
      </w:r>
    </w:p>
    <w:p w14:paraId="2B73213B" w14:textId="77777777" w:rsidR="00171F3F" w:rsidRDefault="002247E5" w:rsidP="002247E5">
      <w:pPr>
        <w:pStyle w:val="afff2"/>
        <w:spacing w:line="360" w:lineRule="auto"/>
        <w:ind w:left="0" w:firstLineChars="0"/>
      </w:pPr>
      <w:r>
        <w:rPr>
          <w:rFonts w:hint="eastAsia"/>
        </w:rPr>
        <w:t>注：定位焊道可以试连续焊或断续焊的不完全熔透焊道。</w:t>
      </w:r>
    </w:p>
    <w:p w14:paraId="7ACEACC5" w14:textId="77777777" w:rsidR="002247E5" w:rsidRDefault="002247E5" w:rsidP="002247E5">
      <w:pPr>
        <w:pStyle w:val="a0"/>
        <w:spacing w:before="156" w:after="156"/>
      </w:pPr>
    </w:p>
    <w:p w14:paraId="65C707B0" w14:textId="77777777" w:rsidR="002247E5" w:rsidRDefault="002247E5" w:rsidP="002247E5">
      <w:pPr>
        <w:pStyle w:val="a0"/>
        <w:numPr>
          <w:ilvl w:val="1"/>
          <w:numId w:val="0"/>
        </w:numPr>
        <w:spacing w:before="156" w:after="156"/>
        <w:ind w:firstLineChars="200" w:firstLine="420"/>
      </w:pPr>
      <w:r>
        <w:rPr>
          <w:rFonts w:hint="eastAsia"/>
        </w:rPr>
        <w:t>搭接 Overlap</w:t>
      </w:r>
    </w:p>
    <w:p w14:paraId="1F7ECA2C" w14:textId="77777777" w:rsidR="002247E5" w:rsidRDefault="002247E5" w:rsidP="002247E5">
      <w:pPr>
        <w:pStyle w:val="afff2"/>
        <w:ind w:left="0" w:firstLineChars="0"/>
      </w:pPr>
      <w:r>
        <w:rPr>
          <w:rFonts w:hint="eastAsia"/>
        </w:rPr>
        <w:t>在束流下降之前，焊道重新熔合的部分。</w:t>
      </w:r>
    </w:p>
    <w:bookmarkEnd w:id="56"/>
    <w:bookmarkEnd w:id="57"/>
    <w:bookmarkEnd w:id="58"/>
    <w:bookmarkEnd w:id="59"/>
    <w:bookmarkEnd w:id="60"/>
    <w:bookmarkEnd w:id="61"/>
    <w:bookmarkEnd w:id="62"/>
    <w:bookmarkEnd w:id="63"/>
    <w:p w14:paraId="5E1ECEA7" w14:textId="77777777" w:rsidR="00CE3A76" w:rsidRDefault="00CE3A76">
      <w:pPr>
        <w:widowControl/>
        <w:ind w:left="0"/>
        <w:jc w:val="left"/>
        <w:rPr>
          <w:rFonts w:ascii="宋体"/>
          <w:kern w:val="0"/>
          <w:szCs w:val="20"/>
        </w:rPr>
      </w:pPr>
      <w:r>
        <w:br w:type="page"/>
      </w:r>
    </w:p>
    <w:p w14:paraId="5EEAC03F" w14:textId="77777777" w:rsidR="00171F3F" w:rsidRDefault="002247E5" w:rsidP="00CE3A76">
      <w:pPr>
        <w:pStyle w:val="a"/>
        <w:numPr>
          <w:ilvl w:val="0"/>
          <w:numId w:val="19"/>
        </w:numPr>
        <w:spacing w:before="312" w:after="312"/>
        <w:outlineLvl w:val="0"/>
      </w:pPr>
      <w:bookmarkStart w:id="68" w:name="_Toc111304449"/>
      <w:r w:rsidRPr="00CE3A76">
        <w:rPr>
          <w:rFonts w:hint="eastAsia"/>
        </w:rPr>
        <w:lastRenderedPageBreak/>
        <w:t>激光电弧复合焊接工艺</w:t>
      </w:r>
      <w:bookmarkEnd w:id="68"/>
    </w:p>
    <w:p w14:paraId="6EDE1A15" w14:textId="77777777" w:rsidR="002247E5" w:rsidRPr="00CE3A76" w:rsidRDefault="002247E5" w:rsidP="00CE3A76">
      <w:pPr>
        <w:pStyle w:val="a"/>
        <w:numPr>
          <w:ilvl w:val="0"/>
          <w:numId w:val="0"/>
        </w:numPr>
        <w:spacing w:before="312" w:after="312"/>
        <w:outlineLvl w:val="0"/>
      </w:pPr>
      <w:bookmarkStart w:id="69" w:name="_Toc111304450"/>
      <w:bookmarkStart w:id="70" w:name="_Toc531637998"/>
      <w:bookmarkStart w:id="71" w:name="_Toc520052913"/>
      <w:bookmarkStart w:id="72" w:name="BKCKWX"/>
      <w:bookmarkStart w:id="73" w:name="_Toc22451391"/>
      <w:bookmarkStart w:id="74" w:name="_Toc519540516"/>
      <w:bookmarkStart w:id="75" w:name="_Toc22451410"/>
      <w:bookmarkStart w:id="76" w:name="_Toc531638012"/>
      <w:bookmarkStart w:id="77" w:name="_Toc519540570"/>
      <w:bookmarkStart w:id="78" w:name="_Toc520052969"/>
      <w:bookmarkStart w:id="79" w:name="_Hlk28374822"/>
      <w:r w:rsidRPr="00CE3A76">
        <w:rPr>
          <w:rFonts w:hint="eastAsia"/>
        </w:rPr>
        <w:t>4.1 工艺描述</w:t>
      </w:r>
      <w:bookmarkEnd w:id="69"/>
    </w:p>
    <w:p w14:paraId="599B98BB" w14:textId="77777777" w:rsidR="002247E5" w:rsidRPr="00CE3A76" w:rsidRDefault="002247E5" w:rsidP="00CE3A76">
      <w:pPr>
        <w:pStyle w:val="afff2"/>
        <w:spacing w:line="360" w:lineRule="auto"/>
        <w:ind w:left="0"/>
        <w:rPr>
          <w:rFonts w:hAnsi="宋体"/>
        </w:rPr>
      </w:pPr>
      <w:r w:rsidRPr="00CE3A76">
        <w:rPr>
          <w:rFonts w:hAnsi="宋体" w:hint="eastAsia"/>
        </w:rPr>
        <w:t>激光和电弧焊技术的结合称为激光电弧复合焊接，这是一个描述性术语，包括激光类型和电弧焊方法。激光电弧复合焊接是一种将激光束和电流结合在一个工艺区域并形成一个熔池的过程。</w:t>
      </w:r>
    </w:p>
    <w:p w14:paraId="413F1693" w14:textId="77777777" w:rsidR="002247E5" w:rsidRPr="00CE3A76" w:rsidRDefault="002247E5" w:rsidP="00CE3A76">
      <w:pPr>
        <w:pStyle w:val="afff2"/>
        <w:spacing w:line="360" w:lineRule="auto"/>
        <w:ind w:left="0"/>
        <w:rPr>
          <w:rFonts w:hAnsi="宋体"/>
        </w:rPr>
      </w:pPr>
      <w:r w:rsidRPr="00CE3A76">
        <w:rPr>
          <w:rFonts w:hAnsi="宋体" w:hint="eastAsia"/>
        </w:rPr>
        <w:t>激光束可稳定电弧，并有助于复合工艺的典型深熔效果和高焊接速度，以致于生产效率和预装配结构精度的提高。</w:t>
      </w:r>
    </w:p>
    <w:p w14:paraId="2C51DAAC" w14:textId="77777777" w:rsidR="002247E5" w:rsidRPr="00CE3A76" w:rsidRDefault="002247E5" w:rsidP="00CE3A76">
      <w:pPr>
        <w:pStyle w:val="afff2"/>
        <w:spacing w:line="360" w:lineRule="auto"/>
        <w:ind w:left="0"/>
        <w:rPr>
          <w:rFonts w:hAnsi="宋体"/>
        </w:rPr>
      </w:pPr>
      <w:r w:rsidRPr="00CE3A76">
        <w:rPr>
          <w:rFonts w:hAnsi="宋体" w:hint="eastAsia"/>
        </w:rPr>
        <w:t>与激光束焊接相比，电弧焊焊接可以在焊缝间隙更大时生产出高质量焊缝。此外，它降低了焊接区域的冷却速度，从而改善了焊接接头的机械性能。</w:t>
      </w:r>
    </w:p>
    <w:p w14:paraId="5B3EC715" w14:textId="77777777" w:rsidR="002247E5" w:rsidRPr="00CE3A76" w:rsidRDefault="002247E5" w:rsidP="00CE3A76">
      <w:pPr>
        <w:pStyle w:val="afff2"/>
        <w:spacing w:line="360" w:lineRule="auto"/>
        <w:ind w:left="0"/>
        <w:rPr>
          <w:rFonts w:hAnsi="宋体"/>
        </w:rPr>
      </w:pPr>
      <w:r w:rsidRPr="00CE3A76">
        <w:rPr>
          <w:rFonts w:hAnsi="宋体" w:hint="eastAsia"/>
        </w:rPr>
        <w:t>实际结果是，激光束焊接所需钢材规格不同于当今造船业常用钢材规格。但激光电弧复合焊接工艺可以应用于常规造船用钢。</w:t>
      </w:r>
    </w:p>
    <w:p w14:paraId="12685F3A" w14:textId="77777777" w:rsidR="002247E5" w:rsidRPr="00CE3A76" w:rsidRDefault="002247E5" w:rsidP="00CE3A76">
      <w:pPr>
        <w:pStyle w:val="afff2"/>
        <w:spacing w:line="360" w:lineRule="auto"/>
        <w:ind w:left="0"/>
        <w:rPr>
          <w:rFonts w:hAnsi="宋体"/>
        </w:rPr>
      </w:pPr>
      <w:r w:rsidRPr="00CE3A76">
        <w:rPr>
          <w:rFonts w:hAnsi="宋体" w:hint="eastAsia"/>
        </w:rPr>
        <w:t>总而言之，利用了激光和电弧的协同作用，与任何独立工艺相比提高了焊接效率。</w:t>
      </w:r>
    </w:p>
    <w:p w14:paraId="4919EB71" w14:textId="77777777" w:rsidR="002247E5" w:rsidRPr="00CE3A76" w:rsidRDefault="002247E5" w:rsidP="00CE3A76">
      <w:pPr>
        <w:pStyle w:val="a"/>
        <w:numPr>
          <w:ilvl w:val="0"/>
          <w:numId w:val="0"/>
        </w:numPr>
        <w:spacing w:before="312" w:after="312"/>
        <w:outlineLvl w:val="0"/>
      </w:pPr>
      <w:bookmarkStart w:id="80" w:name="_Toc111304451"/>
      <w:r w:rsidRPr="00CE3A76">
        <w:rPr>
          <w:rFonts w:hint="eastAsia"/>
        </w:rPr>
        <w:t>4.2 激光电弧复合焊接特点</w:t>
      </w:r>
      <w:bookmarkEnd w:id="80"/>
    </w:p>
    <w:p w14:paraId="026A30CF" w14:textId="77777777" w:rsidR="002247E5" w:rsidRPr="00CE3A76" w:rsidRDefault="002247E5" w:rsidP="00CE3A76">
      <w:pPr>
        <w:pStyle w:val="afff2"/>
        <w:spacing w:line="360" w:lineRule="auto"/>
        <w:ind w:left="0"/>
        <w:rPr>
          <w:rFonts w:hAnsi="宋体"/>
        </w:rPr>
      </w:pPr>
      <w:r w:rsidRPr="00CE3A76">
        <w:rPr>
          <w:rFonts w:hAnsi="宋体" w:hint="eastAsia"/>
        </w:rPr>
        <w:t>与传统的焊接方法相比，激光电弧复合焊接的热输入量更小，因此焊接区域更小。这种焊接方式有以下特殊的特点：</w:t>
      </w:r>
    </w:p>
    <w:p w14:paraId="3EDF381C" w14:textId="77777777" w:rsidR="002247E5" w:rsidRPr="00CE3A76" w:rsidRDefault="002247E5" w:rsidP="00CE3A76">
      <w:pPr>
        <w:pStyle w:val="afff2"/>
        <w:spacing w:line="360" w:lineRule="auto"/>
        <w:ind w:left="0"/>
        <w:rPr>
          <w:rFonts w:hAnsi="宋体"/>
        </w:rPr>
      </w:pPr>
      <w:r w:rsidRPr="00CE3A76">
        <w:rPr>
          <w:rFonts w:hAnsi="宋体" w:hint="eastAsia"/>
        </w:rPr>
        <w:t>—狭窄的焊接区域对几何公差提出了更严格要求。因此，必须严格控制用于焊接的材料的所有几何公差。</w:t>
      </w:r>
    </w:p>
    <w:p w14:paraId="14786BE2" w14:textId="77777777" w:rsidR="002247E5" w:rsidRPr="00CE3A76" w:rsidRDefault="002247E5" w:rsidP="00CE3A76">
      <w:pPr>
        <w:pStyle w:val="afff2"/>
        <w:spacing w:line="360" w:lineRule="auto"/>
        <w:ind w:left="0"/>
        <w:rPr>
          <w:rFonts w:hAnsi="宋体"/>
        </w:rPr>
      </w:pPr>
      <w:r w:rsidRPr="00CE3A76">
        <w:rPr>
          <w:rFonts w:hAnsi="宋体" w:hint="eastAsia"/>
        </w:rPr>
        <w:t>—类似的，必须对焊接设备设置严格的工件定位要求。经验表明一种可能的焊接缺陷类型是焊接电弧无法击中坡口（全部或部分）时，造成大的缺陷。因而，目视检查全熔透焊缝根部正确定位后方可接受。</w:t>
      </w:r>
    </w:p>
    <w:p w14:paraId="6ACF822F" w14:textId="77777777" w:rsidR="002247E5" w:rsidRPr="00CE3A76" w:rsidRDefault="002247E5" w:rsidP="00CE3A76">
      <w:pPr>
        <w:pStyle w:val="afff2"/>
        <w:spacing w:line="360" w:lineRule="auto"/>
        <w:ind w:left="0"/>
        <w:rPr>
          <w:rFonts w:hAnsi="宋体"/>
        </w:rPr>
      </w:pPr>
      <w:r w:rsidRPr="00CE3A76">
        <w:rPr>
          <w:rFonts w:hAnsi="宋体" w:hint="eastAsia"/>
        </w:rPr>
        <w:t>—为了正确定位焊缝，焊接设备需配备了“视觉传感器”或“焊缝跟踪器”，以准确地确定坡口位置。这些设备对表面特性变化（表面反光）很敏感。</w:t>
      </w:r>
    </w:p>
    <w:p w14:paraId="35C2310C" w14:textId="77777777" w:rsidR="002247E5" w:rsidRPr="00CE3A76" w:rsidRDefault="002247E5" w:rsidP="00CE3A76">
      <w:pPr>
        <w:pStyle w:val="afff2"/>
        <w:spacing w:line="360" w:lineRule="auto"/>
        <w:ind w:left="0"/>
        <w:rPr>
          <w:rFonts w:hAnsi="宋体"/>
        </w:rPr>
      </w:pPr>
      <w:r w:rsidRPr="00CE3A76">
        <w:rPr>
          <w:rFonts w:hAnsi="宋体" w:hint="eastAsia"/>
        </w:rPr>
        <w:t>—激光电弧复合焊接的焊缝凝固速度比传统焊接方法快。因此，激光电弧复合焊接通常不可能在车间底漆表面上进行焊接。</w:t>
      </w:r>
    </w:p>
    <w:p w14:paraId="75E06974" w14:textId="77777777" w:rsidR="002247E5" w:rsidRPr="00CE3A76" w:rsidRDefault="002247E5" w:rsidP="00CE3A76">
      <w:pPr>
        <w:pStyle w:val="a"/>
        <w:numPr>
          <w:ilvl w:val="0"/>
          <w:numId w:val="0"/>
        </w:numPr>
        <w:spacing w:before="312" w:after="312"/>
        <w:outlineLvl w:val="0"/>
      </w:pPr>
      <w:bookmarkStart w:id="81" w:name="_Toc111304452"/>
      <w:r w:rsidRPr="00CE3A76">
        <w:rPr>
          <w:rFonts w:hint="eastAsia"/>
        </w:rPr>
        <w:t>4.3 工艺认可</w:t>
      </w:r>
      <w:bookmarkEnd w:id="81"/>
    </w:p>
    <w:p w14:paraId="3D3A8E03" w14:textId="77777777" w:rsidR="002247E5" w:rsidRPr="00CE3A76" w:rsidRDefault="002247E5" w:rsidP="00CE3A76">
      <w:pPr>
        <w:pStyle w:val="afff2"/>
        <w:spacing w:line="360" w:lineRule="auto"/>
        <w:ind w:left="0"/>
        <w:rPr>
          <w:rFonts w:hAnsi="宋体"/>
        </w:rPr>
      </w:pPr>
      <w:r w:rsidRPr="00CE3A76">
        <w:rPr>
          <w:rFonts w:hAnsi="宋体" w:hint="eastAsia"/>
        </w:rPr>
        <w:t>激光电弧复合焊接的工艺认可应遵循以下步骤：</w:t>
      </w:r>
    </w:p>
    <w:p w14:paraId="0A66E122" w14:textId="77777777" w:rsidR="002247E5" w:rsidRPr="00CE3A76" w:rsidRDefault="002247E5" w:rsidP="00CE3A76">
      <w:pPr>
        <w:pStyle w:val="afff2"/>
        <w:spacing w:line="360" w:lineRule="auto"/>
        <w:ind w:left="0"/>
        <w:rPr>
          <w:rFonts w:hAnsi="宋体"/>
        </w:rPr>
      </w:pPr>
      <w:r w:rsidRPr="00CE3A76">
        <w:rPr>
          <w:rFonts w:hAnsi="宋体" w:hint="eastAsia"/>
        </w:rPr>
        <w:t>第一步，必须确定基本工艺参数及其公差范围。需要进行系统的试验和测试，确定要使用的目标焊接参数，及确定这些焊接参数对焊接性能的影响以及在实际焊接过程中可接受的变化范围。</w:t>
      </w:r>
    </w:p>
    <w:p w14:paraId="27D7993D" w14:textId="77777777" w:rsidR="002247E5" w:rsidRPr="00CE3A76" w:rsidRDefault="002247E5" w:rsidP="00CE3A76">
      <w:pPr>
        <w:pStyle w:val="afff2"/>
        <w:spacing w:line="360" w:lineRule="auto"/>
        <w:ind w:left="0"/>
        <w:rPr>
          <w:rFonts w:hAnsi="宋体"/>
        </w:rPr>
      </w:pPr>
      <w:r w:rsidRPr="00CE3A76">
        <w:rPr>
          <w:rFonts w:hAnsi="宋体" w:hint="eastAsia"/>
        </w:rPr>
        <w:lastRenderedPageBreak/>
        <w:t>第二步是将第一步的准备工作实施到实际焊接中。必须实现稳定且可重复的焊接过程。根据经验，当车间引入一种新的焊接方法时，在过程变得稳定和可重复之前，总要经历一个“试错阶段”。正式的船级社认可工作不应在这个变动的阶段开始，而要等到过程受控后，证明过程稳定且可重复后开始。</w:t>
      </w:r>
    </w:p>
    <w:p w14:paraId="151E825E" w14:textId="77777777" w:rsidR="002247E5" w:rsidRPr="00CE3A76" w:rsidRDefault="002247E5" w:rsidP="00CE3A76">
      <w:pPr>
        <w:pStyle w:val="afff2"/>
        <w:spacing w:line="360" w:lineRule="auto"/>
        <w:ind w:left="0"/>
        <w:rPr>
          <w:rFonts w:hAnsi="宋体"/>
        </w:rPr>
      </w:pPr>
      <w:r w:rsidRPr="00CE3A76">
        <w:rPr>
          <w:rFonts w:hAnsi="宋体" w:hint="eastAsia"/>
        </w:rPr>
        <w:t>当稳定且有变化范围的焊接工艺被证明无问题后，进行正式的船级社认可，包括编写pWPS和WPQT。</w:t>
      </w:r>
    </w:p>
    <w:p w14:paraId="4E7C1562" w14:textId="77777777" w:rsidR="002247E5" w:rsidRPr="00CE3A76" w:rsidRDefault="002247E5" w:rsidP="00CE3A76">
      <w:pPr>
        <w:pStyle w:val="afff2"/>
        <w:spacing w:line="360" w:lineRule="auto"/>
        <w:ind w:left="0"/>
        <w:rPr>
          <w:rFonts w:hAnsi="宋体"/>
        </w:rPr>
      </w:pPr>
      <w:r w:rsidRPr="00CE3A76">
        <w:rPr>
          <w:rFonts w:hAnsi="宋体" w:hint="eastAsia"/>
        </w:rPr>
        <w:t>这些步骤遵循船级社常规焊接工艺中描述的过程要求。在 pWPS 中，必须定义几个新参数以反映激光电弧复合焊接的特殊性，但原理仍与常规焊缝相同。在 WPQT 中，通常需要与常规焊缝相同的试验，见第 6 部分。</w:t>
      </w:r>
    </w:p>
    <w:p w14:paraId="094D2426" w14:textId="77777777" w:rsidR="002247E5" w:rsidRPr="00CE3A76" w:rsidRDefault="002247E5" w:rsidP="00CE3A76">
      <w:pPr>
        <w:pStyle w:val="afff2"/>
        <w:spacing w:line="360" w:lineRule="auto"/>
        <w:ind w:left="0"/>
        <w:rPr>
          <w:rFonts w:hAnsi="宋体"/>
        </w:rPr>
      </w:pPr>
      <w:r w:rsidRPr="00CE3A76">
        <w:rPr>
          <w:rFonts w:hAnsi="宋体" w:hint="eastAsia"/>
        </w:rPr>
        <w:t>最后一步是实际生产焊接过程中的磨合。在此阶段，船级社的关注度和检验量应高于常规焊接。随着信心和经验的积累，检验量应逐渐减少到常规焊缝的正常水平。</w:t>
      </w:r>
    </w:p>
    <w:p w14:paraId="6F708D95" w14:textId="77777777" w:rsidR="002247E5" w:rsidRDefault="002247E5" w:rsidP="002247E5">
      <w:pPr>
        <w:pStyle w:val="afffffff2"/>
        <w:spacing w:before="37" w:line="268" w:lineRule="auto"/>
        <w:ind w:left="112" w:firstLine="750"/>
        <w:rPr>
          <w:rFonts w:ascii="宋体"/>
          <w:sz w:val="15"/>
          <w:lang w:eastAsia="zh-CN"/>
        </w:rPr>
      </w:pPr>
    </w:p>
    <w:p w14:paraId="4BF48DC8" w14:textId="77777777" w:rsidR="002247E5" w:rsidRPr="00CE3A76" w:rsidRDefault="002247E5" w:rsidP="00CE3A76">
      <w:pPr>
        <w:pStyle w:val="a"/>
        <w:numPr>
          <w:ilvl w:val="0"/>
          <w:numId w:val="19"/>
        </w:numPr>
        <w:spacing w:before="312" w:after="312"/>
        <w:outlineLvl w:val="0"/>
      </w:pPr>
      <w:bookmarkStart w:id="82" w:name="_Toc111304453"/>
      <w:r w:rsidRPr="00CE3A76">
        <w:rPr>
          <w:rFonts w:hint="eastAsia"/>
        </w:rPr>
        <w:t>激光电弧复合焊接试验要求</w:t>
      </w:r>
      <w:bookmarkEnd w:id="82"/>
    </w:p>
    <w:p w14:paraId="7FF006D9" w14:textId="77777777" w:rsidR="002247E5" w:rsidRPr="00CE3A76" w:rsidRDefault="002247E5" w:rsidP="00CE3A76">
      <w:pPr>
        <w:pStyle w:val="a"/>
        <w:numPr>
          <w:ilvl w:val="0"/>
          <w:numId w:val="0"/>
        </w:numPr>
        <w:spacing w:before="312" w:after="312"/>
        <w:outlineLvl w:val="0"/>
      </w:pPr>
      <w:bookmarkStart w:id="83" w:name="_Toc111304454"/>
      <w:r w:rsidRPr="00CE3A76">
        <w:rPr>
          <w:rFonts w:hint="eastAsia"/>
        </w:rPr>
        <w:t>5.1 焊接设备</w:t>
      </w:r>
      <w:bookmarkEnd w:id="83"/>
    </w:p>
    <w:p w14:paraId="3643A0D4" w14:textId="77777777" w:rsidR="002247E5" w:rsidRDefault="002247E5" w:rsidP="00CE3A76">
      <w:pPr>
        <w:pStyle w:val="afff2"/>
        <w:spacing w:line="360" w:lineRule="auto"/>
        <w:ind w:left="0"/>
      </w:pPr>
      <w:r w:rsidRPr="00CE3A76">
        <w:rPr>
          <w:rFonts w:hAnsi="宋体" w:hint="eastAsia"/>
        </w:rPr>
        <w:t>焊接设备的激光束部分在使用前应按 ISO 15616-1:2003 进行测试。设备状况应在</w:t>
      </w:r>
      <w:r>
        <w:rPr>
          <w:rFonts w:hint="eastAsia"/>
        </w:rPr>
        <w:t xml:space="preserve"> 15616-1:2003规定的有限偏差范围内。气体流量和压力测量仪表应定期按照 ISO 15616- 3:03 标准进行校准。</w:t>
      </w:r>
    </w:p>
    <w:p w14:paraId="5B7DB15E" w14:textId="77777777" w:rsidR="002247E5" w:rsidRPr="00CE3A76" w:rsidRDefault="002247E5" w:rsidP="00CE3A76">
      <w:pPr>
        <w:pStyle w:val="a"/>
        <w:numPr>
          <w:ilvl w:val="0"/>
          <w:numId w:val="0"/>
        </w:numPr>
        <w:spacing w:before="312" w:after="312"/>
        <w:outlineLvl w:val="0"/>
      </w:pPr>
      <w:bookmarkStart w:id="84" w:name="_Toc111304455"/>
      <w:r w:rsidRPr="00CE3A76">
        <w:rPr>
          <w:rFonts w:hint="eastAsia"/>
        </w:rPr>
        <w:t>5.2 焊接材料</w:t>
      </w:r>
      <w:bookmarkEnd w:id="84"/>
    </w:p>
    <w:p w14:paraId="000A4083" w14:textId="77777777" w:rsidR="002247E5" w:rsidRDefault="002247E5" w:rsidP="00CE3A76">
      <w:pPr>
        <w:pStyle w:val="afff2"/>
        <w:spacing w:line="360" w:lineRule="auto"/>
        <w:ind w:left="0"/>
      </w:pPr>
      <w:r w:rsidRPr="00CE3A76">
        <w:rPr>
          <w:rFonts w:hAnsi="宋体" w:hint="eastAsia"/>
        </w:rPr>
        <w:t>WPS</w:t>
      </w:r>
      <w:r>
        <w:rPr>
          <w:rFonts w:hint="eastAsia"/>
        </w:rPr>
        <w:t xml:space="preserve"> 中应确定焊接材料和气体等辅助材料。焊接材料和辅助材料应经过船级社的认可，例如电弧焊用的焊丝/气体组合应在船级社批准的焊接材料清单中。</w:t>
      </w:r>
    </w:p>
    <w:p w14:paraId="2459A181" w14:textId="77777777" w:rsidR="002247E5" w:rsidRPr="00CE3A76" w:rsidRDefault="002247E5" w:rsidP="00CE3A76">
      <w:pPr>
        <w:pStyle w:val="a"/>
        <w:numPr>
          <w:ilvl w:val="0"/>
          <w:numId w:val="0"/>
        </w:numPr>
        <w:spacing w:before="312" w:after="312"/>
        <w:outlineLvl w:val="0"/>
      </w:pPr>
      <w:bookmarkStart w:id="85" w:name="_Toc111304456"/>
      <w:r w:rsidRPr="00CE3A76">
        <w:rPr>
          <w:rFonts w:hint="eastAsia"/>
        </w:rPr>
        <w:t>5.3 焊接人员</w:t>
      </w:r>
      <w:bookmarkEnd w:id="85"/>
    </w:p>
    <w:p w14:paraId="1D95A962" w14:textId="77777777" w:rsidR="002247E5" w:rsidRDefault="002247E5" w:rsidP="00CE3A76">
      <w:pPr>
        <w:pStyle w:val="afff2"/>
        <w:spacing w:line="360" w:lineRule="auto"/>
        <w:ind w:left="0"/>
      </w:pPr>
      <w:r>
        <w:rPr>
          <w:rFonts w:hint="eastAsia"/>
        </w:rPr>
        <w:t>机器</w:t>
      </w:r>
      <w:r w:rsidRPr="00CE3A76">
        <w:rPr>
          <w:rFonts w:hAnsi="宋体" w:hint="eastAsia"/>
        </w:rPr>
        <w:t>操作</w:t>
      </w:r>
      <w:r>
        <w:rPr>
          <w:rFonts w:hint="eastAsia"/>
        </w:rPr>
        <w:t>人员应接受具有专门知识的人员的培训。培训应使操作员能够充分地设置，编程和操作机器。 培训中应包括有关激光电弧复合焊接的特殊性以及如何建立和遵循焊接程序规范。</w:t>
      </w:r>
    </w:p>
    <w:p w14:paraId="118FDBB6" w14:textId="77777777" w:rsidR="002247E5" w:rsidRPr="00CE3A76" w:rsidRDefault="002247E5" w:rsidP="00CE3A76">
      <w:pPr>
        <w:pStyle w:val="a"/>
        <w:numPr>
          <w:ilvl w:val="0"/>
          <w:numId w:val="0"/>
        </w:numPr>
        <w:spacing w:before="312" w:after="312"/>
        <w:outlineLvl w:val="0"/>
      </w:pPr>
      <w:bookmarkStart w:id="86" w:name="_Toc111304457"/>
      <w:r w:rsidRPr="00CE3A76">
        <w:rPr>
          <w:rFonts w:hint="eastAsia"/>
        </w:rPr>
        <w:t>5.4 焊接工艺认可</w:t>
      </w:r>
      <w:bookmarkEnd w:id="86"/>
    </w:p>
    <w:p w14:paraId="56EC970E" w14:textId="77777777" w:rsidR="002247E5" w:rsidRDefault="002247E5" w:rsidP="00CE3A76">
      <w:pPr>
        <w:pStyle w:val="afff2"/>
        <w:spacing w:line="360" w:lineRule="auto"/>
        <w:ind w:left="0"/>
      </w:pPr>
      <w:r>
        <w:rPr>
          <w:rFonts w:hint="eastAsia"/>
        </w:rPr>
        <w:t>在焊接工艺</w:t>
      </w:r>
      <w:r w:rsidRPr="00CE3A76">
        <w:rPr>
          <w:rFonts w:hAnsi="宋体" w:hint="eastAsia"/>
        </w:rPr>
        <w:t>评定</w:t>
      </w:r>
      <w:r>
        <w:rPr>
          <w:rFonts w:hint="eastAsia"/>
        </w:rPr>
        <w:t>之前，必须证明已开发出稳定且可重复的焊接工艺。此外，必须有文件证明，使用的所有焊接参数在焊接过程中可预见的变化不会导致焊接质量不合格。这是船级社认可焊接程序最重要的一个部分。</w:t>
      </w:r>
    </w:p>
    <w:p w14:paraId="4D6BC7EE" w14:textId="77777777" w:rsidR="002247E5" w:rsidRDefault="002247E5" w:rsidP="002247E5">
      <w:pPr>
        <w:pStyle w:val="afffffff2"/>
        <w:spacing w:before="12"/>
        <w:ind w:firstLine="750"/>
        <w:rPr>
          <w:rFonts w:ascii="宋体"/>
          <w:sz w:val="15"/>
          <w:lang w:eastAsia="zh-CN"/>
        </w:rPr>
      </w:pPr>
    </w:p>
    <w:p w14:paraId="3AE1D91E" w14:textId="77777777" w:rsidR="002247E5" w:rsidRPr="00CE3A76" w:rsidRDefault="002247E5" w:rsidP="00CE3A76">
      <w:pPr>
        <w:pStyle w:val="a"/>
        <w:numPr>
          <w:ilvl w:val="0"/>
          <w:numId w:val="19"/>
        </w:numPr>
        <w:spacing w:before="312" w:after="312"/>
        <w:outlineLvl w:val="0"/>
      </w:pPr>
      <w:bookmarkStart w:id="87" w:name="_Toc111304458"/>
      <w:r w:rsidRPr="00CE3A76">
        <w:rPr>
          <w:rFonts w:hint="eastAsia"/>
        </w:rPr>
        <w:t>预焊接工艺规范(pWPS)和焊接工艺规程(WPS)</w:t>
      </w:r>
      <w:bookmarkEnd w:id="87"/>
    </w:p>
    <w:p w14:paraId="05531DB5" w14:textId="77777777" w:rsidR="002247E5" w:rsidRDefault="002247E5" w:rsidP="00CE3A76">
      <w:pPr>
        <w:pStyle w:val="afff2"/>
        <w:spacing w:line="360" w:lineRule="auto"/>
        <w:ind w:left="0"/>
      </w:pPr>
      <w:r>
        <w:rPr>
          <w:rFonts w:hint="eastAsia"/>
        </w:rPr>
        <w:lastRenderedPageBreak/>
        <w:t>在进行焊接试验之前应先编制 pWPS。此 pWPS应包含影响激光电弧复合焊接质量的所有相关参数。WPS 应根据焊接工艺评定试验结果和规范要求的焊接参数范围进行编制。如下典型的焊接参数应包含在 pWPS 和 WPS，附录 A 中为 WPS 模板的示例。</w:t>
      </w:r>
    </w:p>
    <w:p w14:paraId="60A75902" w14:textId="77777777" w:rsidR="002247E5" w:rsidRPr="00CE3A76" w:rsidRDefault="002247E5" w:rsidP="00CE3A76">
      <w:pPr>
        <w:pStyle w:val="a"/>
        <w:numPr>
          <w:ilvl w:val="0"/>
          <w:numId w:val="0"/>
        </w:numPr>
        <w:spacing w:before="312" w:after="312"/>
        <w:outlineLvl w:val="0"/>
      </w:pPr>
      <w:bookmarkStart w:id="88" w:name="_Toc111304459"/>
      <w:r w:rsidRPr="00CE3A76">
        <w:rPr>
          <w:rFonts w:hint="eastAsia"/>
        </w:rPr>
        <w:t>6.1 制造商</w:t>
      </w:r>
      <w:bookmarkEnd w:id="88"/>
    </w:p>
    <w:p w14:paraId="0F0E7AAB" w14:textId="77777777" w:rsidR="002247E5" w:rsidRDefault="002247E5" w:rsidP="00CE3A76">
      <w:pPr>
        <w:pStyle w:val="afff2"/>
        <w:spacing w:line="360" w:lineRule="auto"/>
        <w:ind w:left="0"/>
      </w:pPr>
      <w:r>
        <w:rPr>
          <w:rFonts w:hint="eastAsia"/>
        </w:rPr>
        <w:t>—WPS 的编号；</w:t>
      </w:r>
    </w:p>
    <w:p w14:paraId="3984BCE6" w14:textId="77777777" w:rsidR="002247E5" w:rsidRDefault="002247E5" w:rsidP="00CE3A76">
      <w:pPr>
        <w:pStyle w:val="afff2"/>
        <w:spacing w:line="360" w:lineRule="auto"/>
        <w:ind w:left="0"/>
      </w:pPr>
      <w:r>
        <w:rPr>
          <w:rFonts w:hint="eastAsia"/>
        </w:rPr>
        <w:t>—焊接</w:t>
      </w:r>
      <w:r w:rsidRPr="00CE3A76">
        <w:rPr>
          <w:rFonts w:hAnsi="宋体" w:hint="eastAsia"/>
        </w:rPr>
        <w:t>工艺</w:t>
      </w:r>
      <w:r>
        <w:rPr>
          <w:rFonts w:hint="eastAsia"/>
        </w:rPr>
        <w:t>评定报告（WPQR）的编号；</w:t>
      </w:r>
    </w:p>
    <w:p w14:paraId="344FA809" w14:textId="77777777" w:rsidR="002247E5" w:rsidRDefault="002247E5" w:rsidP="00CE3A76">
      <w:pPr>
        <w:pStyle w:val="afff2"/>
        <w:spacing w:line="360" w:lineRule="auto"/>
        <w:ind w:left="0"/>
      </w:pPr>
      <w:r>
        <w:rPr>
          <w:rFonts w:hint="eastAsia"/>
        </w:rPr>
        <w:t>—制造商名称。</w:t>
      </w:r>
    </w:p>
    <w:p w14:paraId="6EEE2AFF" w14:textId="77777777" w:rsidR="002247E5" w:rsidRPr="00CE3A76" w:rsidRDefault="002247E5" w:rsidP="00CE3A76">
      <w:pPr>
        <w:pStyle w:val="a"/>
        <w:numPr>
          <w:ilvl w:val="0"/>
          <w:numId w:val="0"/>
        </w:numPr>
        <w:spacing w:before="312" w:after="312"/>
        <w:outlineLvl w:val="0"/>
      </w:pPr>
      <w:bookmarkStart w:id="89" w:name="_Toc111304460"/>
      <w:r w:rsidRPr="00CE3A76">
        <w:rPr>
          <w:rFonts w:hint="eastAsia"/>
        </w:rPr>
        <w:t>6.2 母材</w:t>
      </w:r>
      <w:bookmarkEnd w:id="89"/>
    </w:p>
    <w:p w14:paraId="41F46EA6" w14:textId="77777777" w:rsidR="002247E5" w:rsidRDefault="002247E5" w:rsidP="00CE3A76">
      <w:pPr>
        <w:pStyle w:val="afff2"/>
        <w:spacing w:line="360" w:lineRule="auto"/>
        <w:ind w:left="0"/>
      </w:pPr>
      <w:r>
        <w:rPr>
          <w:rFonts w:hint="eastAsia"/>
        </w:rPr>
        <w:t>—母材（</w:t>
      </w:r>
      <w:r w:rsidRPr="00CE3A76">
        <w:rPr>
          <w:rFonts w:hAnsi="宋体" w:hint="eastAsia"/>
        </w:rPr>
        <w:t>类型</w:t>
      </w:r>
      <w:r>
        <w:rPr>
          <w:rFonts w:hint="eastAsia"/>
        </w:rPr>
        <w:t>/等级）；</w:t>
      </w:r>
    </w:p>
    <w:p w14:paraId="5945B370" w14:textId="77777777" w:rsidR="002247E5" w:rsidRDefault="002247E5" w:rsidP="00CE3A76">
      <w:pPr>
        <w:pStyle w:val="afff2"/>
        <w:spacing w:line="360" w:lineRule="auto"/>
        <w:ind w:left="0"/>
      </w:pPr>
      <w:r>
        <w:rPr>
          <w:rFonts w:hint="eastAsia"/>
        </w:rPr>
        <w:t>—母材的厚度范围。</w:t>
      </w:r>
    </w:p>
    <w:p w14:paraId="6201C76C" w14:textId="77777777" w:rsidR="002247E5" w:rsidRPr="00CE3A76" w:rsidRDefault="002247E5" w:rsidP="00CE3A76">
      <w:pPr>
        <w:pStyle w:val="a"/>
        <w:numPr>
          <w:ilvl w:val="0"/>
          <w:numId w:val="0"/>
        </w:numPr>
        <w:spacing w:before="312" w:after="312"/>
        <w:outlineLvl w:val="0"/>
      </w:pPr>
      <w:bookmarkStart w:id="90" w:name="_Toc111304461"/>
      <w:r w:rsidRPr="00CE3A76">
        <w:rPr>
          <w:rFonts w:hint="eastAsia"/>
        </w:rPr>
        <w:t>6.3 焊接方法</w:t>
      </w:r>
      <w:bookmarkEnd w:id="90"/>
    </w:p>
    <w:p w14:paraId="794C5E1C" w14:textId="77777777" w:rsidR="002247E5" w:rsidRDefault="002247E5" w:rsidP="00CE3A76">
      <w:pPr>
        <w:pStyle w:val="afff2"/>
        <w:spacing w:line="360" w:lineRule="auto"/>
        <w:ind w:left="0"/>
      </w:pPr>
      <w:r>
        <w:rPr>
          <w:rFonts w:hint="eastAsia"/>
        </w:rPr>
        <w:t>应用的</w:t>
      </w:r>
      <w:r w:rsidRPr="00CE3A76">
        <w:rPr>
          <w:rFonts w:hAnsi="宋体" w:hint="eastAsia"/>
        </w:rPr>
        <w:t>焊接</w:t>
      </w:r>
      <w:r>
        <w:rPr>
          <w:rFonts w:hint="eastAsia"/>
        </w:rPr>
        <w:t>方法应采用 ISO 4063 规定的方法代号来表述，每种焊接方法用“&amp;”分隔。</w:t>
      </w:r>
    </w:p>
    <w:p w14:paraId="01C35D40" w14:textId="77777777" w:rsidR="002247E5" w:rsidRPr="00CE3A76" w:rsidRDefault="002247E5" w:rsidP="00CE3A76">
      <w:pPr>
        <w:pStyle w:val="a"/>
        <w:numPr>
          <w:ilvl w:val="0"/>
          <w:numId w:val="0"/>
        </w:numPr>
        <w:spacing w:before="312" w:after="312"/>
        <w:outlineLvl w:val="0"/>
      </w:pPr>
      <w:bookmarkStart w:id="91" w:name="_Toc111304462"/>
      <w:r w:rsidRPr="00CE3A76">
        <w:rPr>
          <w:rFonts w:hint="eastAsia"/>
        </w:rPr>
        <w:t>6.4 接头设计</w:t>
      </w:r>
      <w:bookmarkEnd w:id="91"/>
    </w:p>
    <w:p w14:paraId="3EDD0424" w14:textId="77777777" w:rsidR="002247E5" w:rsidRDefault="002247E5" w:rsidP="00CE3A76">
      <w:pPr>
        <w:pStyle w:val="afff2"/>
        <w:spacing w:line="360" w:lineRule="auto"/>
        <w:ind w:left="0"/>
      </w:pPr>
      <w:r>
        <w:rPr>
          <w:rFonts w:hint="eastAsia"/>
        </w:rPr>
        <w:t>应提供描述接头的设计、形状、尺寸、公差的图样，包括表面光洁度或提供相关信息的标准编号。</w:t>
      </w:r>
    </w:p>
    <w:p w14:paraId="3FF4B325" w14:textId="77777777" w:rsidR="002247E5" w:rsidRPr="00CE3A76" w:rsidRDefault="002247E5" w:rsidP="00CE3A76">
      <w:pPr>
        <w:pStyle w:val="a"/>
        <w:numPr>
          <w:ilvl w:val="0"/>
          <w:numId w:val="0"/>
        </w:numPr>
        <w:spacing w:before="312" w:after="312"/>
        <w:outlineLvl w:val="0"/>
      </w:pPr>
      <w:bookmarkStart w:id="92" w:name="_Toc111304463"/>
      <w:r w:rsidRPr="00CE3A76">
        <w:rPr>
          <w:rFonts w:hint="eastAsia"/>
        </w:rPr>
        <w:t>6.5 焊接位置</w:t>
      </w:r>
      <w:bookmarkEnd w:id="92"/>
    </w:p>
    <w:p w14:paraId="298969A9" w14:textId="77777777" w:rsidR="002247E5" w:rsidRDefault="002247E5" w:rsidP="00CE3A76">
      <w:pPr>
        <w:pStyle w:val="afff2"/>
        <w:spacing w:line="360" w:lineRule="auto"/>
        <w:ind w:left="0"/>
      </w:pPr>
      <w:r>
        <w:rPr>
          <w:rFonts w:hint="eastAsia"/>
        </w:rPr>
        <w:t>焊接</w:t>
      </w:r>
      <w:r w:rsidRPr="00CE3A76">
        <w:rPr>
          <w:rFonts w:hAnsi="宋体" w:hint="eastAsia"/>
        </w:rPr>
        <w:t>位置</w:t>
      </w:r>
      <w:r>
        <w:rPr>
          <w:rFonts w:hint="eastAsia"/>
        </w:rPr>
        <w:t>应按 ISO 6947 或其他相关标准确定。</w:t>
      </w:r>
    </w:p>
    <w:p w14:paraId="17A73C5B" w14:textId="77777777" w:rsidR="002247E5" w:rsidRPr="00CE3A76" w:rsidRDefault="002247E5" w:rsidP="00CE3A76">
      <w:pPr>
        <w:pStyle w:val="a"/>
        <w:numPr>
          <w:ilvl w:val="0"/>
          <w:numId w:val="0"/>
        </w:numPr>
        <w:spacing w:before="312" w:after="312"/>
        <w:outlineLvl w:val="0"/>
      </w:pPr>
      <w:bookmarkStart w:id="93" w:name="_Toc111304464"/>
      <w:r w:rsidRPr="00CE3A76">
        <w:rPr>
          <w:rFonts w:hint="eastAsia"/>
        </w:rPr>
        <w:t>6.6 焊接接头制备</w:t>
      </w:r>
      <w:bookmarkEnd w:id="93"/>
    </w:p>
    <w:p w14:paraId="05C33F3C" w14:textId="77777777" w:rsidR="002247E5" w:rsidRDefault="002247E5" w:rsidP="00CE3A76">
      <w:pPr>
        <w:pStyle w:val="afff2"/>
        <w:spacing w:line="360" w:lineRule="auto"/>
        <w:ind w:left="0"/>
      </w:pPr>
      <w:r>
        <w:rPr>
          <w:rFonts w:hint="eastAsia"/>
        </w:rPr>
        <w:t>应提供接头制备的下列有关信息：</w:t>
      </w:r>
    </w:p>
    <w:p w14:paraId="2E5DA1E9" w14:textId="77777777" w:rsidR="002247E5" w:rsidRDefault="002247E5" w:rsidP="00CE3A76">
      <w:pPr>
        <w:pStyle w:val="afff2"/>
        <w:spacing w:line="360" w:lineRule="auto"/>
        <w:ind w:left="0"/>
      </w:pPr>
      <w:r>
        <w:rPr>
          <w:rFonts w:hint="eastAsia"/>
        </w:rPr>
        <w:t>—接头</w:t>
      </w:r>
      <w:r w:rsidRPr="00CE3A76">
        <w:rPr>
          <w:rFonts w:hAnsi="宋体" w:hint="eastAsia"/>
        </w:rPr>
        <w:t>制备</w:t>
      </w:r>
      <w:r>
        <w:rPr>
          <w:rFonts w:hint="eastAsia"/>
        </w:rPr>
        <w:t>方法、清洗、去污等；</w:t>
      </w:r>
    </w:p>
    <w:p w14:paraId="59193B90" w14:textId="77777777" w:rsidR="002247E5" w:rsidRDefault="002247E5" w:rsidP="00CE3A76">
      <w:pPr>
        <w:pStyle w:val="afff2"/>
        <w:spacing w:line="360" w:lineRule="auto"/>
        <w:ind w:left="0"/>
      </w:pPr>
      <w:r>
        <w:rPr>
          <w:rFonts w:hint="eastAsia"/>
        </w:rPr>
        <w:t>—已</w:t>
      </w:r>
      <w:r w:rsidRPr="00CE3A76">
        <w:rPr>
          <w:rFonts w:hAnsi="宋体" w:hint="eastAsia"/>
        </w:rPr>
        <w:t>准备好</w:t>
      </w:r>
      <w:r>
        <w:rPr>
          <w:rFonts w:hint="eastAsia"/>
        </w:rPr>
        <w:t>的接头的保护（如有必要）。</w:t>
      </w:r>
    </w:p>
    <w:p w14:paraId="380EEDF0" w14:textId="77777777" w:rsidR="002247E5" w:rsidRPr="00CE3A76" w:rsidRDefault="002247E5" w:rsidP="00CE3A76">
      <w:pPr>
        <w:pStyle w:val="a"/>
        <w:numPr>
          <w:ilvl w:val="0"/>
          <w:numId w:val="0"/>
        </w:numPr>
        <w:spacing w:before="312" w:after="312"/>
        <w:outlineLvl w:val="0"/>
      </w:pPr>
      <w:bookmarkStart w:id="94" w:name="_Toc111304465"/>
      <w:r w:rsidRPr="00CE3A76">
        <w:rPr>
          <w:rFonts w:hint="eastAsia"/>
        </w:rPr>
        <w:t>6.7 焊接操作</w:t>
      </w:r>
      <w:bookmarkEnd w:id="94"/>
    </w:p>
    <w:p w14:paraId="2FCAD5DF" w14:textId="77777777" w:rsidR="002247E5" w:rsidRDefault="002247E5" w:rsidP="00CE3A76">
      <w:pPr>
        <w:pStyle w:val="afff2"/>
        <w:spacing w:line="360" w:lineRule="auto"/>
        <w:ind w:left="0"/>
      </w:pPr>
      <w:r>
        <w:rPr>
          <w:rFonts w:hint="eastAsia"/>
        </w:rPr>
        <w:t>应采用示意见图说明所有焊道（定位焊道、正式焊道、盖面焊道）的细节。应包括以下信息：</w:t>
      </w:r>
    </w:p>
    <w:p w14:paraId="137BA302" w14:textId="77777777" w:rsidR="002247E5" w:rsidRDefault="002247E5" w:rsidP="00CE3A76">
      <w:pPr>
        <w:pStyle w:val="afff2"/>
        <w:spacing w:line="360" w:lineRule="auto"/>
        <w:ind w:left="0"/>
      </w:pPr>
      <w:r>
        <w:rPr>
          <w:rFonts w:hint="eastAsia"/>
        </w:rPr>
        <w:t>—摆动或不摆动；</w:t>
      </w:r>
    </w:p>
    <w:p w14:paraId="092932C9" w14:textId="77777777" w:rsidR="002247E5" w:rsidRDefault="002247E5" w:rsidP="00CE3A76">
      <w:pPr>
        <w:pStyle w:val="afff2"/>
        <w:spacing w:line="360" w:lineRule="auto"/>
        <w:ind w:left="0"/>
      </w:pPr>
      <w:r>
        <w:rPr>
          <w:rFonts w:hint="eastAsia"/>
        </w:rPr>
        <w:lastRenderedPageBreak/>
        <w:t>—摆动的数值或振幅、激光及焊丝的摆动频率及停顿时间。</w:t>
      </w:r>
    </w:p>
    <w:p w14:paraId="0C8DFF32" w14:textId="77777777" w:rsidR="002247E5" w:rsidRPr="00CE3A76" w:rsidRDefault="002247E5" w:rsidP="00CE3A76">
      <w:pPr>
        <w:pStyle w:val="a"/>
        <w:numPr>
          <w:ilvl w:val="0"/>
          <w:numId w:val="0"/>
        </w:numPr>
        <w:spacing w:before="312" w:after="312"/>
        <w:outlineLvl w:val="0"/>
      </w:pPr>
      <w:bookmarkStart w:id="95" w:name="_Toc111304466"/>
      <w:r w:rsidRPr="00CE3A76">
        <w:rPr>
          <w:rFonts w:hint="eastAsia"/>
        </w:rPr>
        <w:t>6.8 装配定位</w:t>
      </w:r>
      <w:bookmarkEnd w:id="95"/>
    </w:p>
    <w:p w14:paraId="3E83E127" w14:textId="77777777" w:rsidR="002247E5" w:rsidRDefault="002247E5" w:rsidP="00CE3A76">
      <w:pPr>
        <w:pStyle w:val="afff2"/>
        <w:spacing w:line="360" w:lineRule="auto"/>
        <w:ind w:left="0"/>
      </w:pPr>
      <w:r>
        <w:rPr>
          <w:rFonts w:hint="eastAsia"/>
        </w:rPr>
        <w:t>应对固定</w:t>
      </w:r>
      <w:r w:rsidRPr="00CE3A76">
        <w:rPr>
          <w:rFonts w:hAnsi="宋体" w:hint="eastAsia"/>
        </w:rPr>
        <w:t>焊接</w:t>
      </w:r>
      <w:r>
        <w:rPr>
          <w:rFonts w:hint="eastAsia"/>
        </w:rPr>
        <w:t>工件所使用方法（包括定位焊及背面保护气体）进行说明。</w:t>
      </w:r>
    </w:p>
    <w:p w14:paraId="646173A7" w14:textId="77777777" w:rsidR="002247E5" w:rsidRPr="00CE3A76" w:rsidRDefault="002247E5" w:rsidP="00CE3A76">
      <w:pPr>
        <w:pStyle w:val="a"/>
        <w:numPr>
          <w:ilvl w:val="0"/>
          <w:numId w:val="0"/>
        </w:numPr>
        <w:spacing w:before="312" w:after="312"/>
        <w:outlineLvl w:val="0"/>
      </w:pPr>
      <w:bookmarkStart w:id="96" w:name="_Toc111304467"/>
      <w:r w:rsidRPr="00CE3A76">
        <w:rPr>
          <w:rFonts w:hint="eastAsia"/>
        </w:rPr>
        <w:t>6.9 焊接衬垫</w:t>
      </w:r>
      <w:bookmarkEnd w:id="96"/>
    </w:p>
    <w:p w14:paraId="099EA962" w14:textId="77777777" w:rsidR="002247E5" w:rsidRDefault="002247E5" w:rsidP="00CE3A76">
      <w:pPr>
        <w:pStyle w:val="afff2"/>
        <w:spacing w:line="360" w:lineRule="auto"/>
        <w:ind w:left="0"/>
      </w:pPr>
      <w:r>
        <w:rPr>
          <w:rFonts w:hint="eastAsia"/>
        </w:rPr>
        <w:t>应给出</w:t>
      </w:r>
      <w:r w:rsidRPr="00CE3A76">
        <w:rPr>
          <w:rFonts w:hAnsi="宋体" w:hint="eastAsia"/>
        </w:rPr>
        <w:t>相应</w:t>
      </w:r>
      <w:r>
        <w:rPr>
          <w:rFonts w:hint="eastAsia"/>
        </w:rPr>
        <w:t>的下列信息：</w:t>
      </w:r>
    </w:p>
    <w:p w14:paraId="26D4D4AB" w14:textId="77777777" w:rsidR="002247E5" w:rsidRDefault="002247E5" w:rsidP="00CE3A76">
      <w:pPr>
        <w:pStyle w:val="afff2"/>
        <w:spacing w:line="360" w:lineRule="auto"/>
        <w:ind w:left="0"/>
      </w:pPr>
      <w:r>
        <w:rPr>
          <w:rFonts w:hint="eastAsia"/>
        </w:rPr>
        <w:t>—衬垫</w:t>
      </w:r>
      <w:r w:rsidRPr="00CE3A76">
        <w:rPr>
          <w:rFonts w:hAnsi="宋体" w:hint="eastAsia"/>
        </w:rPr>
        <w:t>类型</w:t>
      </w:r>
      <w:r>
        <w:rPr>
          <w:rFonts w:hint="eastAsia"/>
        </w:rPr>
        <w:t>（材料衬垫、气体衬垫、焊剂衬垫等）；</w:t>
      </w:r>
    </w:p>
    <w:p w14:paraId="4DEF6336" w14:textId="77777777" w:rsidR="002247E5" w:rsidRDefault="002247E5" w:rsidP="00CE3A76">
      <w:pPr>
        <w:pStyle w:val="afff2"/>
        <w:spacing w:line="360" w:lineRule="auto"/>
        <w:ind w:left="0"/>
      </w:pPr>
      <w:r>
        <w:rPr>
          <w:rFonts w:hint="eastAsia"/>
        </w:rPr>
        <w:t>—衬垫</w:t>
      </w:r>
      <w:r w:rsidRPr="00CE3A76">
        <w:rPr>
          <w:rFonts w:hAnsi="宋体" w:hint="eastAsia"/>
        </w:rPr>
        <w:t>材料</w:t>
      </w:r>
      <w:r>
        <w:rPr>
          <w:rFonts w:hint="eastAsia"/>
        </w:rPr>
        <w:t>和尺寸；</w:t>
      </w:r>
    </w:p>
    <w:p w14:paraId="73BDE635" w14:textId="77777777" w:rsidR="002247E5" w:rsidRDefault="002247E5" w:rsidP="00CE3A76">
      <w:pPr>
        <w:pStyle w:val="afff2"/>
        <w:spacing w:line="360" w:lineRule="auto"/>
        <w:ind w:left="0"/>
      </w:pPr>
      <w:r>
        <w:rPr>
          <w:rFonts w:hint="eastAsia"/>
        </w:rPr>
        <w:t>—保护气体的代号（如果有必要加上供应商与商标）；</w:t>
      </w:r>
    </w:p>
    <w:p w14:paraId="5735660E" w14:textId="77777777" w:rsidR="002247E5" w:rsidRDefault="002247E5" w:rsidP="00CE3A76">
      <w:pPr>
        <w:pStyle w:val="afff2"/>
        <w:spacing w:line="360" w:lineRule="auto"/>
        <w:ind w:left="0"/>
      </w:pPr>
      <w:r>
        <w:rPr>
          <w:rFonts w:hint="eastAsia"/>
        </w:rPr>
        <w:t>—保护气流量（如果有要求）；</w:t>
      </w:r>
    </w:p>
    <w:p w14:paraId="36990905" w14:textId="77777777" w:rsidR="002247E5" w:rsidRDefault="002247E5" w:rsidP="00CE3A76">
      <w:pPr>
        <w:pStyle w:val="afff2"/>
        <w:spacing w:line="360" w:lineRule="auto"/>
        <w:ind w:left="0"/>
      </w:pPr>
      <w:r>
        <w:rPr>
          <w:rFonts w:hint="eastAsia"/>
        </w:rPr>
        <w:t>—焊剂材料的种类和型号（如果有必要加上供应商与商标）。</w:t>
      </w:r>
    </w:p>
    <w:p w14:paraId="27FBC7CE" w14:textId="77777777" w:rsidR="002247E5" w:rsidRPr="00CE3A76" w:rsidRDefault="002247E5" w:rsidP="00CE3A76">
      <w:pPr>
        <w:pStyle w:val="a"/>
        <w:numPr>
          <w:ilvl w:val="0"/>
          <w:numId w:val="0"/>
        </w:numPr>
        <w:spacing w:before="312" w:after="312"/>
        <w:outlineLvl w:val="0"/>
      </w:pPr>
      <w:bookmarkStart w:id="97" w:name="_Toc111304468"/>
      <w:r w:rsidRPr="00CE3A76">
        <w:rPr>
          <w:rFonts w:hint="eastAsia"/>
        </w:rPr>
        <w:t>6.10 填充材料</w:t>
      </w:r>
      <w:bookmarkEnd w:id="97"/>
    </w:p>
    <w:p w14:paraId="012CEC27" w14:textId="77777777" w:rsidR="002247E5" w:rsidRDefault="002247E5" w:rsidP="00CE3A76">
      <w:pPr>
        <w:pStyle w:val="afff2"/>
        <w:spacing w:line="360" w:lineRule="auto"/>
        <w:ind w:left="0"/>
      </w:pPr>
      <w:r>
        <w:rPr>
          <w:rFonts w:hint="eastAsia"/>
        </w:rPr>
        <w:t>对于填充</w:t>
      </w:r>
      <w:r w:rsidRPr="00CE3A76">
        <w:rPr>
          <w:rFonts w:hAnsi="宋体" w:hint="eastAsia"/>
        </w:rPr>
        <w:t>材料</w:t>
      </w:r>
      <w:r>
        <w:rPr>
          <w:rFonts w:hint="eastAsia"/>
        </w:rPr>
        <w:t>应给出以下内容：</w:t>
      </w:r>
    </w:p>
    <w:p w14:paraId="336C3E21" w14:textId="77777777" w:rsidR="002247E5" w:rsidRDefault="002247E5" w:rsidP="00CE3A76">
      <w:pPr>
        <w:pStyle w:val="afff2"/>
        <w:spacing w:line="360" w:lineRule="auto"/>
        <w:ind w:left="0"/>
      </w:pPr>
      <w:r>
        <w:rPr>
          <w:rFonts w:hint="eastAsia"/>
        </w:rPr>
        <w:t>—填充材料的型号，如果有必要加上供应商与商标；</w:t>
      </w:r>
    </w:p>
    <w:p w14:paraId="5A98470A" w14:textId="77777777" w:rsidR="002247E5" w:rsidRDefault="002247E5" w:rsidP="00CE3A76">
      <w:pPr>
        <w:pStyle w:val="afff2"/>
        <w:spacing w:line="360" w:lineRule="auto"/>
        <w:ind w:left="0"/>
      </w:pPr>
      <w:r>
        <w:rPr>
          <w:rFonts w:hint="eastAsia"/>
        </w:rPr>
        <w:t>—焊丝或焊带规格。</w:t>
      </w:r>
    </w:p>
    <w:p w14:paraId="1EEA21D0" w14:textId="77777777" w:rsidR="002247E5" w:rsidRPr="00CE3A76" w:rsidRDefault="002247E5" w:rsidP="00CE3A76">
      <w:pPr>
        <w:pStyle w:val="a"/>
        <w:numPr>
          <w:ilvl w:val="0"/>
          <w:numId w:val="0"/>
        </w:numPr>
        <w:spacing w:before="312" w:after="312"/>
        <w:outlineLvl w:val="0"/>
      </w:pPr>
      <w:bookmarkStart w:id="98" w:name="_Toc111304469"/>
      <w:r w:rsidRPr="00CE3A76">
        <w:rPr>
          <w:rFonts w:hint="eastAsia"/>
        </w:rPr>
        <w:t>6.11 焊接设备</w:t>
      </w:r>
      <w:bookmarkEnd w:id="98"/>
    </w:p>
    <w:p w14:paraId="171FFC2F" w14:textId="77777777" w:rsidR="002247E5" w:rsidRDefault="002247E5" w:rsidP="0089530D">
      <w:pPr>
        <w:pStyle w:val="a"/>
        <w:numPr>
          <w:ilvl w:val="0"/>
          <w:numId w:val="0"/>
        </w:numPr>
        <w:spacing w:before="312" w:after="312"/>
        <w:outlineLvl w:val="0"/>
      </w:pPr>
      <w:r w:rsidRPr="0089530D">
        <w:rPr>
          <w:rFonts w:hint="eastAsia"/>
        </w:rPr>
        <w:t>6.11.1 激</w:t>
      </w:r>
      <w:r>
        <w:rPr>
          <w:rFonts w:hint="eastAsia"/>
        </w:rPr>
        <w:t>光</w:t>
      </w:r>
      <w:r w:rsidRPr="0089530D">
        <w:rPr>
          <w:rFonts w:hint="eastAsia"/>
        </w:rPr>
        <w:t>焊</w:t>
      </w:r>
      <w:r>
        <w:rPr>
          <w:rFonts w:hint="eastAsia"/>
        </w:rPr>
        <w:t>接</w:t>
      </w:r>
      <w:r w:rsidRPr="0089530D">
        <w:rPr>
          <w:rFonts w:hint="eastAsia"/>
        </w:rPr>
        <w:t>设</w:t>
      </w:r>
      <w:r>
        <w:rPr>
          <w:rFonts w:hint="eastAsia"/>
        </w:rPr>
        <w:t>备应提</w:t>
      </w:r>
      <w:r w:rsidRPr="0089530D">
        <w:rPr>
          <w:rFonts w:hint="eastAsia"/>
        </w:rPr>
        <w:t>供</w:t>
      </w:r>
      <w:r>
        <w:rPr>
          <w:rFonts w:hint="eastAsia"/>
        </w:rPr>
        <w:t>一</w:t>
      </w:r>
      <w:r w:rsidRPr="0089530D">
        <w:rPr>
          <w:rFonts w:hint="eastAsia"/>
        </w:rPr>
        <w:t>下</w:t>
      </w:r>
      <w:r>
        <w:rPr>
          <w:rFonts w:hint="eastAsia"/>
        </w:rPr>
        <w:t>信</w:t>
      </w:r>
      <w:r w:rsidRPr="0089530D">
        <w:rPr>
          <w:rFonts w:hint="eastAsia"/>
        </w:rPr>
        <w:t>息</w:t>
      </w:r>
      <w:r>
        <w:rPr>
          <w:rFonts w:hint="eastAsia"/>
        </w:rPr>
        <w:t>：</w:t>
      </w:r>
    </w:p>
    <w:p w14:paraId="411A65D3" w14:textId="77777777" w:rsidR="002247E5" w:rsidRDefault="002247E5" w:rsidP="00CE3A76">
      <w:pPr>
        <w:pStyle w:val="afff2"/>
        <w:spacing w:line="360" w:lineRule="auto"/>
        <w:ind w:left="0"/>
      </w:pPr>
      <w:r>
        <w:rPr>
          <w:rFonts w:hint="eastAsia"/>
        </w:rPr>
        <w:t>—类型（如 YAG 或者CO2 激光）、型号、制造商；</w:t>
      </w:r>
    </w:p>
    <w:p w14:paraId="2CC125D2" w14:textId="77777777" w:rsidR="002247E5" w:rsidRDefault="002247E5" w:rsidP="00CE3A76">
      <w:pPr>
        <w:pStyle w:val="afff2"/>
        <w:spacing w:line="360" w:lineRule="auto"/>
        <w:ind w:left="0"/>
      </w:pPr>
      <w:r>
        <w:rPr>
          <w:rFonts w:hint="eastAsia"/>
        </w:rPr>
        <w:t>—额定功率；</w:t>
      </w:r>
    </w:p>
    <w:p w14:paraId="08D4BEC9" w14:textId="77777777" w:rsidR="002247E5" w:rsidRDefault="002247E5" w:rsidP="00CE3A76">
      <w:pPr>
        <w:pStyle w:val="afff2"/>
        <w:spacing w:line="360" w:lineRule="auto"/>
        <w:ind w:left="0"/>
      </w:pPr>
      <w:r>
        <w:rPr>
          <w:rFonts w:hint="eastAsia"/>
        </w:rPr>
        <w:t>—连续波或脉冲激光；</w:t>
      </w:r>
    </w:p>
    <w:p w14:paraId="64A7E229" w14:textId="77777777" w:rsidR="002247E5" w:rsidRDefault="002247E5" w:rsidP="00CE3A76">
      <w:pPr>
        <w:pStyle w:val="afff2"/>
        <w:spacing w:line="360" w:lineRule="auto"/>
        <w:ind w:left="0"/>
      </w:pPr>
      <w:r>
        <w:rPr>
          <w:rFonts w:hint="eastAsia"/>
        </w:rPr>
        <w:t>—激光组合数量；</w:t>
      </w:r>
    </w:p>
    <w:p w14:paraId="179C2121" w14:textId="77777777" w:rsidR="002247E5" w:rsidRDefault="002247E5" w:rsidP="00CE3A76">
      <w:pPr>
        <w:pStyle w:val="afff2"/>
        <w:spacing w:line="360" w:lineRule="auto"/>
        <w:ind w:left="0"/>
      </w:pPr>
      <w:r>
        <w:rPr>
          <w:rFonts w:hint="eastAsia"/>
        </w:rPr>
        <w:t>—制造商提供的以下参数值：</w:t>
      </w:r>
    </w:p>
    <w:p w14:paraId="5BAFA77C" w14:textId="77777777" w:rsidR="002247E5" w:rsidRDefault="002247E5" w:rsidP="00CE3A76">
      <w:pPr>
        <w:pStyle w:val="afff2"/>
        <w:spacing w:line="360" w:lineRule="auto"/>
        <w:ind w:left="0"/>
      </w:pPr>
      <w:r>
        <w:rPr>
          <w:rFonts w:hint="eastAsia"/>
        </w:rPr>
        <w:t>—光束</w:t>
      </w:r>
      <w:r w:rsidRPr="00CE3A76">
        <w:rPr>
          <w:rFonts w:hAnsi="宋体" w:hint="eastAsia"/>
        </w:rPr>
        <w:t>模式</w:t>
      </w:r>
      <w:r>
        <w:rPr>
          <w:rFonts w:hint="eastAsia"/>
        </w:rPr>
        <w:t>；</w:t>
      </w:r>
    </w:p>
    <w:p w14:paraId="7CB9183C" w14:textId="77777777" w:rsidR="002247E5" w:rsidRDefault="002247E5" w:rsidP="00CE3A76">
      <w:pPr>
        <w:pStyle w:val="afff2"/>
        <w:spacing w:line="360" w:lineRule="auto"/>
        <w:ind w:left="0"/>
      </w:pPr>
      <w:r>
        <w:rPr>
          <w:rFonts w:hint="eastAsia"/>
        </w:rPr>
        <w:t>—波长；</w:t>
      </w:r>
    </w:p>
    <w:p w14:paraId="63E3ADFB" w14:textId="77777777" w:rsidR="002247E5" w:rsidRDefault="002247E5" w:rsidP="00CE3A76">
      <w:pPr>
        <w:pStyle w:val="afff2"/>
        <w:spacing w:line="360" w:lineRule="auto"/>
        <w:ind w:left="0"/>
      </w:pPr>
      <w:r>
        <w:rPr>
          <w:rFonts w:hint="eastAsia"/>
        </w:rPr>
        <w:t>—光束</w:t>
      </w:r>
      <w:r w:rsidRPr="00CE3A76">
        <w:rPr>
          <w:rFonts w:hAnsi="宋体" w:hint="eastAsia"/>
        </w:rPr>
        <w:t>偏振</w:t>
      </w:r>
      <w:r>
        <w:rPr>
          <w:rFonts w:hint="eastAsia"/>
        </w:rPr>
        <w:t>及方向。</w:t>
      </w:r>
    </w:p>
    <w:p w14:paraId="30965D83" w14:textId="77777777" w:rsidR="002247E5" w:rsidRDefault="002247E5" w:rsidP="0089530D">
      <w:pPr>
        <w:pStyle w:val="a"/>
        <w:numPr>
          <w:ilvl w:val="0"/>
          <w:numId w:val="0"/>
        </w:numPr>
        <w:spacing w:before="312" w:after="312"/>
        <w:outlineLvl w:val="0"/>
      </w:pPr>
      <w:r w:rsidRPr="0089530D">
        <w:rPr>
          <w:rFonts w:hint="eastAsia"/>
        </w:rPr>
        <w:t>6.11.2 激光传输及</w:t>
      </w:r>
      <w:r>
        <w:rPr>
          <w:rFonts w:hint="eastAsia"/>
        </w:rPr>
        <w:t>聚</w:t>
      </w:r>
      <w:r w:rsidRPr="0089530D">
        <w:rPr>
          <w:rFonts w:hint="eastAsia"/>
        </w:rPr>
        <w:t>焦系</w:t>
      </w:r>
      <w:r>
        <w:rPr>
          <w:rFonts w:hint="eastAsia"/>
        </w:rPr>
        <w:t>统应提</w:t>
      </w:r>
      <w:r w:rsidRPr="0089530D">
        <w:rPr>
          <w:rFonts w:hint="eastAsia"/>
        </w:rPr>
        <w:t>供</w:t>
      </w:r>
      <w:r>
        <w:rPr>
          <w:rFonts w:hint="eastAsia"/>
        </w:rPr>
        <w:t>以</w:t>
      </w:r>
      <w:r w:rsidRPr="0089530D">
        <w:rPr>
          <w:rFonts w:hint="eastAsia"/>
        </w:rPr>
        <w:t>下</w:t>
      </w:r>
      <w:r>
        <w:rPr>
          <w:rFonts w:hint="eastAsia"/>
        </w:rPr>
        <w:t>相</w:t>
      </w:r>
      <w:r w:rsidRPr="0089530D">
        <w:rPr>
          <w:rFonts w:hint="eastAsia"/>
        </w:rPr>
        <w:t>关</w:t>
      </w:r>
      <w:r>
        <w:rPr>
          <w:rFonts w:hint="eastAsia"/>
        </w:rPr>
        <w:t>信</w:t>
      </w:r>
      <w:r w:rsidRPr="0089530D">
        <w:rPr>
          <w:rFonts w:hint="eastAsia"/>
        </w:rPr>
        <w:t>息</w:t>
      </w:r>
      <w:r>
        <w:rPr>
          <w:rFonts w:hint="eastAsia"/>
        </w:rPr>
        <w:t>：</w:t>
      </w:r>
    </w:p>
    <w:p w14:paraId="138E3093" w14:textId="77777777" w:rsidR="002247E5" w:rsidRDefault="002247E5" w:rsidP="00CE3A76">
      <w:pPr>
        <w:pStyle w:val="afff2"/>
        <w:spacing w:line="360" w:lineRule="auto"/>
        <w:ind w:left="0"/>
      </w:pPr>
      <w:r>
        <w:rPr>
          <w:rFonts w:hint="eastAsia"/>
        </w:rPr>
        <w:lastRenderedPageBreak/>
        <w:t>—激光传输</w:t>
      </w:r>
      <w:r w:rsidRPr="00CE3A76">
        <w:rPr>
          <w:rFonts w:hAnsi="宋体" w:hint="eastAsia"/>
        </w:rPr>
        <w:t>方式</w:t>
      </w:r>
      <w:r>
        <w:rPr>
          <w:rFonts w:hint="eastAsia"/>
        </w:rPr>
        <w:t>（光纤、束镜、包括对中装置,</w:t>
      </w:r>
    </w:p>
    <w:p w14:paraId="50EA43E7" w14:textId="77777777" w:rsidR="002247E5" w:rsidRDefault="002247E5" w:rsidP="00CE3A76">
      <w:pPr>
        <w:pStyle w:val="afff2"/>
        <w:spacing w:line="360" w:lineRule="auto"/>
        <w:ind w:left="0"/>
      </w:pPr>
      <w:r>
        <w:rPr>
          <w:rFonts w:hint="eastAsia"/>
        </w:rPr>
        <w:t>如果</w:t>
      </w:r>
      <w:r>
        <w:rPr>
          <w:rFonts w:hint="eastAsia"/>
          <w:spacing w:val="-3"/>
        </w:rPr>
        <w:t>用</w:t>
      </w:r>
      <w:r>
        <w:rPr>
          <w:rFonts w:hint="eastAsia"/>
        </w:rPr>
        <w:t>到</w:t>
      </w:r>
      <w:r>
        <w:rPr>
          <w:rFonts w:hint="eastAsia"/>
          <w:spacing w:val="-108"/>
        </w:rPr>
        <w:t>）</w:t>
      </w:r>
      <w:r>
        <w:rPr>
          <w:rFonts w:hint="eastAsia"/>
        </w:rPr>
        <w:t>；</w:t>
      </w:r>
    </w:p>
    <w:p w14:paraId="463BE037" w14:textId="77777777" w:rsidR="002247E5" w:rsidRDefault="002247E5" w:rsidP="00CE3A76">
      <w:pPr>
        <w:pStyle w:val="afff2"/>
        <w:spacing w:line="360" w:lineRule="auto"/>
        <w:ind w:left="0"/>
      </w:pPr>
      <w:r>
        <w:rPr>
          <w:rFonts w:hint="eastAsia"/>
        </w:rPr>
        <w:t>—如果必要的话，给出光源到聚焦系统的距离；</w:t>
      </w:r>
    </w:p>
    <w:p w14:paraId="02157C05" w14:textId="77777777" w:rsidR="002247E5" w:rsidRDefault="002247E5" w:rsidP="00CE3A76">
      <w:pPr>
        <w:pStyle w:val="afff2"/>
        <w:spacing w:line="360" w:lineRule="auto"/>
        <w:ind w:left="0"/>
      </w:pPr>
      <w:r>
        <w:rPr>
          <w:rFonts w:hint="eastAsia"/>
        </w:rPr>
        <w:t>—聚焦系统入口处的光束直径；</w:t>
      </w:r>
    </w:p>
    <w:p w14:paraId="0D437DB9" w14:textId="77777777" w:rsidR="002247E5" w:rsidRDefault="002247E5" w:rsidP="00CE3A76">
      <w:pPr>
        <w:pStyle w:val="afff2"/>
        <w:spacing w:line="360" w:lineRule="auto"/>
        <w:ind w:left="0"/>
      </w:pPr>
      <w:r>
        <w:rPr>
          <w:rFonts w:hint="eastAsia"/>
        </w:rPr>
        <w:t>—光束传输与聚焦</w:t>
      </w:r>
      <w:r w:rsidRPr="00CE3A76">
        <w:rPr>
          <w:rFonts w:hAnsi="宋体" w:hint="eastAsia"/>
        </w:rPr>
        <w:t>系统</w:t>
      </w:r>
      <w:r>
        <w:rPr>
          <w:rFonts w:hint="eastAsia"/>
        </w:rPr>
        <w:t>（比如光纤直径、准直长度、焦距）；</w:t>
      </w:r>
    </w:p>
    <w:p w14:paraId="713AD4A2" w14:textId="77777777" w:rsidR="002247E5" w:rsidRDefault="002247E5" w:rsidP="00CE3A76">
      <w:pPr>
        <w:pStyle w:val="afff2"/>
        <w:spacing w:line="360" w:lineRule="auto"/>
        <w:ind w:left="0"/>
      </w:pPr>
      <w:r>
        <w:rPr>
          <w:rFonts w:hint="eastAsia"/>
        </w:rPr>
        <w:t>—焦点</w:t>
      </w:r>
      <w:r w:rsidRPr="00CE3A76">
        <w:rPr>
          <w:rFonts w:hAnsi="宋体" w:hint="eastAsia"/>
        </w:rPr>
        <w:t>光斑</w:t>
      </w:r>
      <w:r>
        <w:rPr>
          <w:rFonts w:hint="eastAsia"/>
        </w:rPr>
        <w:t>尺寸。</w:t>
      </w:r>
    </w:p>
    <w:p w14:paraId="78FC450C" w14:textId="77777777" w:rsidR="002247E5" w:rsidRDefault="002247E5" w:rsidP="0089530D">
      <w:pPr>
        <w:pStyle w:val="a"/>
        <w:numPr>
          <w:ilvl w:val="0"/>
          <w:numId w:val="0"/>
        </w:numPr>
        <w:spacing w:before="312" w:after="312"/>
        <w:outlineLvl w:val="0"/>
      </w:pPr>
      <w:r>
        <w:rPr>
          <w:rFonts w:hint="eastAsia"/>
        </w:rPr>
        <w:t>6.11.3弧焊装置</w:t>
      </w:r>
    </w:p>
    <w:p w14:paraId="00F1D82C" w14:textId="77777777" w:rsidR="002247E5" w:rsidRDefault="002247E5" w:rsidP="00CE3A76">
      <w:pPr>
        <w:pStyle w:val="afff2"/>
        <w:spacing w:line="360" w:lineRule="auto"/>
        <w:ind w:left="0"/>
      </w:pPr>
      <w:r>
        <w:rPr>
          <w:rFonts w:hint="eastAsia"/>
        </w:rPr>
        <w:t>应提供一下</w:t>
      </w:r>
      <w:r w:rsidRPr="00CE3A76">
        <w:rPr>
          <w:rFonts w:hAnsi="宋体" w:hint="eastAsia"/>
        </w:rPr>
        <w:t>相关</w:t>
      </w:r>
      <w:r>
        <w:rPr>
          <w:rFonts w:hint="eastAsia"/>
        </w:rPr>
        <w:t>信息：</w:t>
      </w:r>
    </w:p>
    <w:p w14:paraId="58FEB85F" w14:textId="77777777" w:rsidR="002247E5" w:rsidRDefault="002247E5" w:rsidP="00CE3A76">
      <w:pPr>
        <w:pStyle w:val="afff2"/>
        <w:spacing w:line="360" w:lineRule="auto"/>
        <w:ind w:left="0"/>
      </w:pPr>
      <w:r>
        <w:rPr>
          <w:rFonts w:hint="eastAsia"/>
        </w:rPr>
        <w:t>—种类、型号</w:t>
      </w:r>
      <w:r w:rsidRPr="00CE3A76">
        <w:rPr>
          <w:rFonts w:hAnsi="宋体" w:hint="eastAsia"/>
        </w:rPr>
        <w:t>以及</w:t>
      </w:r>
      <w:r>
        <w:rPr>
          <w:rFonts w:hint="eastAsia"/>
        </w:rPr>
        <w:t>制造商。</w:t>
      </w:r>
    </w:p>
    <w:p w14:paraId="3EF3EAAE" w14:textId="77777777" w:rsidR="002247E5" w:rsidRDefault="002247E5" w:rsidP="0089530D">
      <w:pPr>
        <w:pStyle w:val="a"/>
        <w:numPr>
          <w:ilvl w:val="0"/>
          <w:numId w:val="0"/>
        </w:numPr>
        <w:spacing w:before="312" w:after="312"/>
        <w:outlineLvl w:val="0"/>
      </w:pPr>
      <w:r>
        <w:rPr>
          <w:rFonts w:hint="eastAsia"/>
        </w:rPr>
        <w:t>6.11.4处理</w:t>
      </w:r>
      <w:r w:rsidRPr="0089530D">
        <w:rPr>
          <w:rFonts w:hint="eastAsia"/>
        </w:rPr>
        <w:t>系统</w:t>
      </w:r>
    </w:p>
    <w:p w14:paraId="2E7EF62B" w14:textId="77777777" w:rsidR="002247E5" w:rsidRDefault="002247E5" w:rsidP="00CE3A76">
      <w:pPr>
        <w:pStyle w:val="afff2"/>
        <w:spacing w:line="360" w:lineRule="auto"/>
        <w:ind w:left="0"/>
      </w:pPr>
      <w:r>
        <w:rPr>
          <w:rFonts w:hint="eastAsia"/>
        </w:rPr>
        <w:t>应提供以下相关信息：</w:t>
      </w:r>
    </w:p>
    <w:p w14:paraId="57B6AB1B" w14:textId="77777777" w:rsidR="002247E5" w:rsidRDefault="002247E5" w:rsidP="00CE3A76">
      <w:pPr>
        <w:pStyle w:val="afff2"/>
        <w:spacing w:line="360" w:lineRule="auto"/>
        <w:ind w:left="0"/>
      </w:pPr>
      <w:r>
        <w:rPr>
          <w:rFonts w:hint="eastAsia"/>
        </w:rPr>
        <w:t>—种类、型式</w:t>
      </w:r>
      <w:r w:rsidRPr="00CE3A76">
        <w:rPr>
          <w:rFonts w:hAnsi="宋体" w:hint="eastAsia"/>
        </w:rPr>
        <w:t>以及</w:t>
      </w:r>
      <w:r>
        <w:rPr>
          <w:rFonts w:hint="eastAsia"/>
        </w:rPr>
        <w:t>制造商；</w:t>
      </w:r>
    </w:p>
    <w:p w14:paraId="15CF22B2" w14:textId="77777777" w:rsidR="002247E5" w:rsidRDefault="002247E5" w:rsidP="00CE3A76">
      <w:pPr>
        <w:pStyle w:val="afff2"/>
        <w:spacing w:line="360" w:lineRule="auto"/>
        <w:ind w:left="0"/>
      </w:pPr>
      <w:r>
        <w:rPr>
          <w:rFonts w:hint="eastAsia"/>
        </w:rPr>
        <w:t>—焊缝跟踪系统的种类、型号以及制造商，如果使用。</w:t>
      </w:r>
    </w:p>
    <w:p w14:paraId="4672D21E" w14:textId="77777777" w:rsidR="002247E5" w:rsidRPr="00CE3A76" w:rsidRDefault="002247E5" w:rsidP="00CE3A76">
      <w:pPr>
        <w:pStyle w:val="a"/>
        <w:numPr>
          <w:ilvl w:val="0"/>
          <w:numId w:val="0"/>
        </w:numPr>
        <w:spacing w:before="312" w:after="312"/>
        <w:outlineLvl w:val="0"/>
      </w:pPr>
      <w:bookmarkStart w:id="99" w:name="_Toc111304470"/>
      <w:r w:rsidRPr="00CE3A76">
        <w:rPr>
          <w:rFonts w:hint="eastAsia"/>
        </w:rPr>
        <w:t>6.12 焊接参数</w:t>
      </w:r>
      <w:bookmarkEnd w:id="99"/>
    </w:p>
    <w:p w14:paraId="3DF39F5E" w14:textId="77777777" w:rsidR="002247E5" w:rsidRDefault="002247E5" w:rsidP="0089530D">
      <w:pPr>
        <w:pStyle w:val="a"/>
        <w:numPr>
          <w:ilvl w:val="0"/>
          <w:numId w:val="0"/>
        </w:numPr>
        <w:spacing w:before="312" w:after="312"/>
        <w:outlineLvl w:val="0"/>
      </w:pPr>
      <w:r w:rsidRPr="0089530D">
        <w:rPr>
          <w:rFonts w:hint="eastAsia"/>
        </w:rPr>
        <w:t>6.12.1 光</w:t>
      </w:r>
      <w:r>
        <w:rPr>
          <w:rFonts w:hint="eastAsia"/>
        </w:rPr>
        <w:t>束工艺参数</w:t>
      </w:r>
    </w:p>
    <w:p w14:paraId="4635A427" w14:textId="77777777" w:rsidR="002247E5" w:rsidRDefault="002247E5" w:rsidP="00CE3A76">
      <w:pPr>
        <w:pStyle w:val="afff2"/>
        <w:spacing w:line="360" w:lineRule="auto"/>
        <w:ind w:left="0"/>
      </w:pPr>
      <w:r>
        <w:rPr>
          <w:rFonts w:hint="eastAsia"/>
        </w:rPr>
        <w:t>应提供以下相关</w:t>
      </w:r>
      <w:r w:rsidRPr="00CE3A76">
        <w:rPr>
          <w:rFonts w:hAnsi="宋体" w:hint="eastAsia"/>
        </w:rPr>
        <w:t>信息</w:t>
      </w:r>
      <w:r>
        <w:rPr>
          <w:rFonts w:hint="eastAsia"/>
        </w:rPr>
        <w:t>：</w:t>
      </w:r>
    </w:p>
    <w:p w14:paraId="12E73F31" w14:textId="77777777" w:rsidR="002247E5" w:rsidRDefault="002247E5" w:rsidP="00CE3A76">
      <w:pPr>
        <w:pStyle w:val="afff2"/>
        <w:spacing w:line="360" w:lineRule="auto"/>
        <w:ind w:left="0"/>
      </w:pPr>
      <w:r>
        <w:rPr>
          <w:rFonts w:hint="eastAsia"/>
        </w:rPr>
        <w:t>—工件表面的激光功率，包括对激光功率测量的技术条件；</w:t>
      </w:r>
    </w:p>
    <w:p w14:paraId="4C6FF82B" w14:textId="77777777" w:rsidR="002247E5" w:rsidRPr="00CE3A76" w:rsidRDefault="002247E5" w:rsidP="00CE3A76">
      <w:pPr>
        <w:pStyle w:val="afff2"/>
        <w:spacing w:line="360" w:lineRule="auto"/>
        <w:ind w:left="0"/>
        <w:rPr>
          <w:rFonts w:hAnsi="宋体"/>
        </w:rPr>
      </w:pPr>
      <w:r>
        <w:rPr>
          <w:rFonts w:hint="eastAsia"/>
        </w:rPr>
        <w:t>—使用的脉</w:t>
      </w:r>
      <w:r w:rsidRPr="00CE3A76">
        <w:rPr>
          <w:rFonts w:hAnsi="宋体" w:hint="eastAsia"/>
        </w:rPr>
        <w:t>冲模式（如果采用脉冲模式）；</w:t>
      </w:r>
    </w:p>
    <w:p w14:paraId="7E905A64" w14:textId="77777777" w:rsidR="002247E5" w:rsidRPr="00CE3A76" w:rsidRDefault="002247E5" w:rsidP="00CE3A76">
      <w:pPr>
        <w:pStyle w:val="afff2"/>
        <w:spacing w:line="360" w:lineRule="auto"/>
        <w:ind w:left="0"/>
        <w:rPr>
          <w:rFonts w:hAnsi="宋体"/>
        </w:rPr>
      </w:pPr>
      <w:r w:rsidRPr="00CE3A76">
        <w:rPr>
          <w:rFonts w:hAnsi="宋体" w:hint="eastAsia"/>
        </w:rPr>
        <w:t>—峰值功率；</w:t>
      </w:r>
    </w:p>
    <w:p w14:paraId="02E8A731" w14:textId="77777777" w:rsidR="002247E5" w:rsidRPr="00CE3A76" w:rsidRDefault="002247E5" w:rsidP="00CE3A76">
      <w:pPr>
        <w:pStyle w:val="afff2"/>
        <w:spacing w:line="360" w:lineRule="auto"/>
        <w:ind w:left="0"/>
        <w:rPr>
          <w:rFonts w:hAnsi="宋体"/>
        </w:rPr>
      </w:pPr>
      <w:r w:rsidRPr="00CE3A76">
        <w:rPr>
          <w:rFonts w:hAnsi="宋体" w:hint="eastAsia"/>
        </w:rPr>
        <w:t>—频率；</w:t>
      </w:r>
    </w:p>
    <w:p w14:paraId="3262B5D4" w14:textId="77777777" w:rsidR="002247E5" w:rsidRPr="00CE3A76" w:rsidRDefault="002247E5" w:rsidP="00CE3A76">
      <w:pPr>
        <w:pStyle w:val="afff2"/>
        <w:spacing w:line="360" w:lineRule="auto"/>
        <w:ind w:left="0"/>
        <w:rPr>
          <w:rFonts w:hAnsi="宋体"/>
        </w:rPr>
      </w:pPr>
      <w:r w:rsidRPr="00CE3A76">
        <w:rPr>
          <w:rFonts w:hAnsi="宋体" w:hint="eastAsia"/>
        </w:rPr>
        <w:t>—脉冲宽度；</w:t>
      </w:r>
    </w:p>
    <w:p w14:paraId="0FE6543F" w14:textId="77777777" w:rsidR="002247E5" w:rsidRPr="00CE3A76" w:rsidRDefault="002247E5" w:rsidP="00CE3A76">
      <w:pPr>
        <w:pStyle w:val="afff2"/>
        <w:spacing w:line="360" w:lineRule="auto"/>
        <w:ind w:left="0"/>
        <w:rPr>
          <w:rFonts w:hAnsi="宋体"/>
        </w:rPr>
      </w:pPr>
      <w:r w:rsidRPr="00CE3A76">
        <w:rPr>
          <w:rFonts w:hAnsi="宋体" w:hint="eastAsia"/>
        </w:rPr>
        <w:t>—脉冲形状。</w:t>
      </w:r>
    </w:p>
    <w:p w14:paraId="123AB148" w14:textId="77777777" w:rsidR="002247E5" w:rsidRPr="00CE3A76" w:rsidRDefault="002247E5" w:rsidP="00CE3A76">
      <w:pPr>
        <w:pStyle w:val="afff2"/>
        <w:spacing w:line="360" w:lineRule="auto"/>
        <w:ind w:left="0"/>
        <w:rPr>
          <w:rFonts w:hAnsi="宋体"/>
        </w:rPr>
      </w:pPr>
      <w:r w:rsidRPr="00CE3A76">
        <w:rPr>
          <w:rFonts w:hAnsi="宋体" w:hint="eastAsia"/>
        </w:rPr>
        <w:t>—保护气体（如果采用的话）。包括流量、型号、纯度；</w:t>
      </w:r>
    </w:p>
    <w:p w14:paraId="70AFDA11" w14:textId="77777777" w:rsidR="002247E5" w:rsidRPr="00CE3A76" w:rsidRDefault="002247E5" w:rsidP="00CE3A76">
      <w:pPr>
        <w:pStyle w:val="afff2"/>
        <w:spacing w:line="360" w:lineRule="auto"/>
        <w:ind w:left="0"/>
        <w:rPr>
          <w:rFonts w:hAnsi="宋体"/>
        </w:rPr>
      </w:pPr>
      <w:r w:rsidRPr="00CE3A76">
        <w:rPr>
          <w:rFonts w:hAnsi="宋体" w:hint="eastAsia"/>
        </w:rPr>
        <w:t>—功率渐变斜率的详细资料（若果采用的话，包括递增和递减的过程）；</w:t>
      </w:r>
    </w:p>
    <w:p w14:paraId="254D9FE2" w14:textId="77777777" w:rsidR="002247E5" w:rsidRPr="00CE3A76" w:rsidRDefault="002247E5" w:rsidP="00CE3A76">
      <w:pPr>
        <w:pStyle w:val="afff2"/>
        <w:spacing w:line="360" w:lineRule="auto"/>
        <w:ind w:left="0"/>
        <w:rPr>
          <w:rFonts w:hAnsi="宋体"/>
        </w:rPr>
      </w:pPr>
      <w:r w:rsidRPr="00CE3A76">
        <w:rPr>
          <w:rFonts w:hAnsi="宋体" w:hint="eastAsia"/>
        </w:rPr>
        <w:t>—摆动模式、振幅、频率及停留时间（如果采用的话）。</w:t>
      </w:r>
    </w:p>
    <w:p w14:paraId="2DFB758C" w14:textId="77777777" w:rsidR="002247E5" w:rsidRPr="0089530D" w:rsidRDefault="002247E5" w:rsidP="0089530D">
      <w:pPr>
        <w:pStyle w:val="a"/>
        <w:numPr>
          <w:ilvl w:val="0"/>
          <w:numId w:val="0"/>
        </w:numPr>
        <w:spacing w:before="312" w:after="312"/>
        <w:outlineLvl w:val="0"/>
      </w:pPr>
      <w:r w:rsidRPr="0089530D">
        <w:rPr>
          <w:rFonts w:hint="eastAsia"/>
        </w:rPr>
        <w:t>6.12.2 电弧工艺参数</w:t>
      </w:r>
    </w:p>
    <w:p w14:paraId="22D94A89" w14:textId="77777777" w:rsidR="002247E5" w:rsidRPr="00CE3A76" w:rsidRDefault="002247E5" w:rsidP="00CE3A76">
      <w:pPr>
        <w:pStyle w:val="afff2"/>
        <w:spacing w:line="360" w:lineRule="auto"/>
        <w:ind w:left="0"/>
        <w:rPr>
          <w:rFonts w:hAnsi="宋体"/>
        </w:rPr>
      </w:pPr>
      <w:r w:rsidRPr="00CE3A76">
        <w:rPr>
          <w:rFonts w:hAnsi="宋体" w:hint="eastAsia"/>
        </w:rPr>
        <w:lastRenderedPageBreak/>
        <w:t>应提供以下相关信息：</w:t>
      </w:r>
    </w:p>
    <w:p w14:paraId="050D38F9" w14:textId="77777777" w:rsidR="002247E5" w:rsidRPr="00CE3A76" w:rsidRDefault="002247E5" w:rsidP="00CE3A76">
      <w:pPr>
        <w:pStyle w:val="afff2"/>
        <w:spacing w:line="360" w:lineRule="auto"/>
        <w:ind w:left="0"/>
        <w:rPr>
          <w:rFonts w:hAnsi="宋体"/>
        </w:rPr>
      </w:pPr>
      <w:r w:rsidRPr="00CE3A76">
        <w:rPr>
          <w:rFonts w:hAnsi="宋体" w:hint="eastAsia"/>
        </w:rPr>
        <w:t>—电流类型（交/直流）和极性；</w:t>
      </w:r>
    </w:p>
    <w:p w14:paraId="674F5BB5" w14:textId="77777777" w:rsidR="002247E5" w:rsidRPr="00CE3A76" w:rsidRDefault="002247E5" w:rsidP="00CE3A76">
      <w:pPr>
        <w:pStyle w:val="afff2"/>
        <w:spacing w:line="360" w:lineRule="auto"/>
        <w:ind w:left="0"/>
        <w:rPr>
          <w:rFonts w:hAnsi="宋体"/>
        </w:rPr>
      </w:pPr>
      <w:r w:rsidRPr="00CE3A76">
        <w:rPr>
          <w:rFonts w:hAnsi="宋体" w:hint="eastAsia"/>
        </w:rPr>
        <w:t>—功率渐变斜率的详细细节（如果采用的话，包括递增和递减的过程）；</w:t>
      </w:r>
    </w:p>
    <w:p w14:paraId="6A7E11E2" w14:textId="77777777" w:rsidR="002247E5" w:rsidRPr="00CE3A76" w:rsidRDefault="002247E5" w:rsidP="00CE3A76">
      <w:pPr>
        <w:pStyle w:val="afff2"/>
        <w:spacing w:line="360" w:lineRule="auto"/>
        <w:ind w:left="0"/>
        <w:rPr>
          <w:rFonts w:hAnsi="宋体"/>
        </w:rPr>
      </w:pPr>
      <w:r w:rsidRPr="00CE3A76">
        <w:rPr>
          <w:rFonts w:hAnsi="宋体" w:hint="eastAsia"/>
        </w:rPr>
        <w:t>—脉冲参数，如果有必要，根据焊接工艺提供功率源协同装置；</w:t>
      </w:r>
    </w:p>
    <w:p w14:paraId="0180F0DC" w14:textId="77777777" w:rsidR="002247E5" w:rsidRPr="00CE3A76" w:rsidRDefault="002247E5" w:rsidP="00CE3A76">
      <w:pPr>
        <w:pStyle w:val="afff2"/>
        <w:spacing w:line="360" w:lineRule="auto"/>
        <w:ind w:left="0"/>
        <w:rPr>
          <w:rFonts w:hAnsi="宋体"/>
        </w:rPr>
      </w:pPr>
      <w:r w:rsidRPr="00CE3A76">
        <w:rPr>
          <w:rFonts w:hAnsi="宋体" w:hint="eastAsia"/>
        </w:rPr>
        <w:t>—送丝速度；</w:t>
      </w:r>
    </w:p>
    <w:p w14:paraId="4AA4CEA9" w14:textId="77777777" w:rsidR="002247E5" w:rsidRPr="00CE3A76" w:rsidRDefault="002247E5" w:rsidP="00CE3A76">
      <w:pPr>
        <w:pStyle w:val="afff2"/>
        <w:spacing w:line="360" w:lineRule="auto"/>
        <w:ind w:left="0"/>
        <w:rPr>
          <w:rFonts w:hAnsi="宋体"/>
        </w:rPr>
      </w:pPr>
      <w:r w:rsidRPr="00CE3A76">
        <w:rPr>
          <w:rFonts w:hAnsi="宋体" w:hint="eastAsia"/>
        </w:rPr>
        <w:t>—电流范围；</w:t>
      </w:r>
    </w:p>
    <w:p w14:paraId="2F98FFB7" w14:textId="77777777" w:rsidR="002247E5" w:rsidRPr="00CE3A76" w:rsidRDefault="002247E5" w:rsidP="00CE3A76">
      <w:pPr>
        <w:pStyle w:val="afff2"/>
        <w:spacing w:line="360" w:lineRule="auto"/>
        <w:ind w:left="0"/>
        <w:rPr>
          <w:rFonts w:hAnsi="宋体"/>
        </w:rPr>
      </w:pPr>
      <w:r w:rsidRPr="00CE3A76">
        <w:rPr>
          <w:rFonts w:hAnsi="宋体" w:hint="eastAsia"/>
        </w:rPr>
        <w:t>—电压范围；</w:t>
      </w:r>
    </w:p>
    <w:p w14:paraId="1B96D803" w14:textId="77777777" w:rsidR="002247E5" w:rsidRPr="00CE3A76" w:rsidRDefault="002247E5" w:rsidP="00CE3A76">
      <w:pPr>
        <w:pStyle w:val="afff2"/>
        <w:spacing w:line="360" w:lineRule="auto"/>
        <w:ind w:left="0"/>
        <w:rPr>
          <w:rFonts w:hAnsi="宋体"/>
        </w:rPr>
      </w:pPr>
      <w:r w:rsidRPr="00CE3A76">
        <w:rPr>
          <w:rFonts w:hAnsi="宋体" w:hint="eastAsia"/>
        </w:rPr>
        <w:t>—保护气体（流量、纯度、喷嘴直径）。</w:t>
      </w:r>
    </w:p>
    <w:p w14:paraId="04E9BE57" w14:textId="77777777" w:rsidR="002247E5" w:rsidRPr="0089530D" w:rsidRDefault="002247E5" w:rsidP="0089530D">
      <w:pPr>
        <w:pStyle w:val="a"/>
        <w:numPr>
          <w:ilvl w:val="0"/>
          <w:numId w:val="0"/>
        </w:numPr>
        <w:spacing w:before="312" w:after="312"/>
        <w:outlineLvl w:val="0"/>
      </w:pPr>
      <w:r w:rsidRPr="0089530D">
        <w:rPr>
          <w:rFonts w:hint="eastAsia"/>
        </w:rPr>
        <w:t>6.12.3 焊接速度</w:t>
      </w:r>
    </w:p>
    <w:p w14:paraId="1637BB84" w14:textId="77777777" w:rsidR="002247E5" w:rsidRPr="00CE3A76" w:rsidRDefault="002247E5" w:rsidP="00CE3A76">
      <w:pPr>
        <w:pStyle w:val="afff2"/>
        <w:spacing w:line="360" w:lineRule="auto"/>
        <w:ind w:left="0"/>
        <w:rPr>
          <w:rFonts w:hAnsi="宋体"/>
        </w:rPr>
      </w:pPr>
      <w:r w:rsidRPr="00CE3A76">
        <w:rPr>
          <w:rFonts w:hAnsi="宋体" w:hint="eastAsia"/>
        </w:rPr>
        <w:t>应提供以下相关信息：</w:t>
      </w:r>
    </w:p>
    <w:p w14:paraId="73217B5C" w14:textId="77777777" w:rsidR="002247E5" w:rsidRPr="00CE3A76" w:rsidRDefault="002247E5" w:rsidP="00CE3A76">
      <w:pPr>
        <w:pStyle w:val="afff2"/>
        <w:spacing w:line="360" w:lineRule="auto"/>
        <w:ind w:left="0"/>
        <w:rPr>
          <w:rFonts w:hAnsi="宋体"/>
        </w:rPr>
      </w:pPr>
      <w:r w:rsidRPr="00CE3A76">
        <w:rPr>
          <w:rFonts w:hAnsi="宋体" w:hint="eastAsia"/>
        </w:rPr>
        <w:t>—焊接速度；</w:t>
      </w:r>
    </w:p>
    <w:p w14:paraId="66867267" w14:textId="77777777" w:rsidR="002247E5" w:rsidRPr="00CE3A76" w:rsidRDefault="002247E5" w:rsidP="00CE3A76">
      <w:pPr>
        <w:pStyle w:val="afff2"/>
        <w:spacing w:line="360" w:lineRule="auto"/>
        <w:ind w:left="0"/>
        <w:rPr>
          <w:rFonts w:hAnsi="宋体"/>
        </w:rPr>
      </w:pPr>
      <w:r w:rsidRPr="00CE3A76">
        <w:rPr>
          <w:rFonts w:hAnsi="宋体" w:hint="eastAsia"/>
        </w:rPr>
        <w:t>—必要时，焊接速度的变化细节。</w:t>
      </w:r>
    </w:p>
    <w:p w14:paraId="4EDFCE88" w14:textId="77777777" w:rsidR="002247E5" w:rsidRPr="0089530D" w:rsidRDefault="002247E5" w:rsidP="0089530D">
      <w:pPr>
        <w:pStyle w:val="a"/>
        <w:numPr>
          <w:ilvl w:val="0"/>
          <w:numId w:val="0"/>
        </w:numPr>
        <w:spacing w:before="312" w:after="312"/>
        <w:outlineLvl w:val="0"/>
      </w:pPr>
      <w:r w:rsidRPr="0089530D">
        <w:rPr>
          <w:rFonts w:hint="eastAsia"/>
        </w:rPr>
        <w:t>6.12.4 几何参数</w:t>
      </w:r>
    </w:p>
    <w:p w14:paraId="7B030D92" w14:textId="77777777" w:rsidR="002247E5" w:rsidRPr="00CE3A76" w:rsidRDefault="002247E5" w:rsidP="00CE3A76">
      <w:pPr>
        <w:pStyle w:val="afff2"/>
        <w:spacing w:line="360" w:lineRule="auto"/>
        <w:ind w:left="0"/>
        <w:rPr>
          <w:rFonts w:hAnsi="宋体"/>
        </w:rPr>
      </w:pPr>
      <w:r w:rsidRPr="00CE3A76">
        <w:rPr>
          <w:rFonts w:hAnsi="宋体" w:hint="eastAsia"/>
        </w:rPr>
        <w:t>应用简图或照片来记录以下参数</w:t>
      </w:r>
    </w:p>
    <w:p w14:paraId="3F2C95E5" w14:textId="77777777" w:rsidR="002247E5" w:rsidRPr="00CE3A76" w:rsidRDefault="002247E5" w:rsidP="00CE3A76">
      <w:pPr>
        <w:pStyle w:val="afff2"/>
        <w:spacing w:line="360" w:lineRule="auto"/>
        <w:ind w:left="0"/>
        <w:rPr>
          <w:rFonts w:hAnsi="宋体"/>
        </w:rPr>
      </w:pPr>
      <w:r w:rsidRPr="00CE3A76">
        <w:rPr>
          <w:rFonts w:hAnsi="宋体" w:hint="eastAsia"/>
        </w:rPr>
        <w:t>—激光：</w:t>
      </w:r>
    </w:p>
    <w:p w14:paraId="2C7F55C6" w14:textId="77777777" w:rsidR="002247E5" w:rsidRPr="00CE3A76" w:rsidRDefault="002247E5" w:rsidP="00CE3A76">
      <w:pPr>
        <w:pStyle w:val="afff2"/>
        <w:spacing w:line="360" w:lineRule="auto"/>
        <w:ind w:left="0"/>
        <w:rPr>
          <w:rFonts w:hAnsi="宋体"/>
        </w:rPr>
      </w:pPr>
      <w:r w:rsidRPr="00CE3A76">
        <w:rPr>
          <w:rFonts w:hAnsi="宋体" w:hint="eastAsia"/>
        </w:rPr>
        <w:t>—焦点位置；</w:t>
      </w:r>
    </w:p>
    <w:p w14:paraId="2C0A4FC4" w14:textId="77777777" w:rsidR="002247E5" w:rsidRPr="00CE3A76" w:rsidRDefault="002247E5" w:rsidP="00CE3A76">
      <w:pPr>
        <w:pStyle w:val="afff2"/>
        <w:spacing w:line="360" w:lineRule="auto"/>
        <w:ind w:left="0"/>
        <w:rPr>
          <w:rFonts w:hAnsi="宋体"/>
        </w:rPr>
      </w:pPr>
      <w:r w:rsidRPr="00CE3A76">
        <w:rPr>
          <w:rFonts w:hAnsi="宋体" w:hint="eastAsia"/>
        </w:rPr>
        <w:t>—光束位置（工件表面处激光束与焊缝中心线的横向偏移量）；</w:t>
      </w:r>
    </w:p>
    <w:p w14:paraId="22A2ECF2" w14:textId="77777777" w:rsidR="002247E5" w:rsidRPr="00CE3A76" w:rsidRDefault="002247E5" w:rsidP="00CE3A76">
      <w:pPr>
        <w:pStyle w:val="afff2"/>
        <w:spacing w:line="360" w:lineRule="auto"/>
        <w:ind w:left="0"/>
        <w:rPr>
          <w:rFonts w:hAnsi="宋体"/>
        </w:rPr>
      </w:pPr>
      <w:r w:rsidRPr="00CE3A76">
        <w:rPr>
          <w:rFonts w:hAnsi="宋体" w:hint="eastAsia"/>
        </w:rPr>
        <w:t>—光束相对于接头和焊接方向的方位（二面角）；</w:t>
      </w:r>
    </w:p>
    <w:p w14:paraId="5F68B21D" w14:textId="77777777" w:rsidR="002247E5" w:rsidRPr="00CE3A76" w:rsidRDefault="002247E5" w:rsidP="00CE3A76">
      <w:pPr>
        <w:pStyle w:val="afff2"/>
        <w:spacing w:line="360" w:lineRule="auto"/>
        <w:ind w:left="0"/>
        <w:rPr>
          <w:rFonts w:hAnsi="宋体"/>
        </w:rPr>
      </w:pPr>
      <w:r w:rsidRPr="00CE3A76">
        <w:rPr>
          <w:rFonts w:hAnsi="宋体" w:hint="eastAsia"/>
        </w:rPr>
        <w:t>—电弧/电极：</w:t>
      </w:r>
    </w:p>
    <w:p w14:paraId="4E85F733" w14:textId="77777777" w:rsidR="002247E5" w:rsidRPr="00CE3A76" w:rsidRDefault="002247E5" w:rsidP="00CE3A76">
      <w:pPr>
        <w:pStyle w:val="afff2"/>
        <w:spacing w:line="360" w:lineRule="auto"/>
        <w:ind w:left="0"/>
        <w:rPr>
          <w:rFonts w:hAnsi="宋体"/>
        </w:rPr>
      </w:pPr>
      <w:r w:rsidRPr="00CE3A76">
        <w:rPr>
          <w:rFonts w:hAnsi="宋体" w:hint="eastAsia"/>
        </w:rPr>
        <w:t>—焊丝干伸长（熔化极）或电弧长度（非熔化极）；</w:t>
      </w:r>
    </w:p>
    <w:p w14:paraId="04693241" w14:textId="77777777" w:rsidR="002247E5" w:rsidRPr="00CE3A76" w:rsidRDefault="002247E5" w:rsidP="00CE3A76">
      <w:pPr>
        <w:pStyle w:val="afff2"/>
        <w:spacing w:line="360" w:lineRule="auto"/>
        <w:ind w:left="0"/>
        <w:rPr>
          <w:rFonts w:hAnsi="宋体"/>
        </w:rPr>
      </w:pPr>
      <w:r w:rsidRPr="00CE3A76">
        <w:rPr>
          <w:rFonts w:hAnsi="宋体" w:hint="eastAsia"/>
        </w:rPr>
        <w:t>—电极位置（工件表面处电极与焊缝中心线的横向偏移量）；</w:t>
      </w:r>
    </w:p>
    <w:p w14:paraId="52B9891B" w14:textId="77777777" w:rsidR="002247E5" w:rsidRPr="00CE3A76" w:rsidRDefault="002247E5" w:rsidP="00CE3A76">
      <w:pPr>
        <w:pStyle w:val="afff2"/>
        <w:spacing w:line="360" w:lineRule="auto"/>
        <w:ind w:left="0"/>
        <w:rPr>
          <w:rFonts w:hAnsi="宋体"/>
        </w:rPr>
      </w:pPr>
      <w:r w:rsidRPr="00CE3A76">
        <w:rPr>
          <w:rFonts w:hAnsi="宋体" w:hint="eastAsia"/>
        </w:rPr>
        <w:t>—电弧或电极相对于接头和焊接方向的方位（二面角）;</w:t>
      </w:r>
    </w:p>
    <w:p w14:paraId="32CDB211" w14:textId="77777777" w:rsidR="002247E5" w:rsidRPr="00CE3A76" w:rsidRDefault="002247E5" w:rsidP="00CE3A76">
      <w:pPr>
        <w:pStyle w:val="afff2"/>
        <w:spacing w:line="360" w:lineRule="auto"/>
        <w:ind w:left="0"/>
        <w:rPr>
          <w:rFonts w:hAnsi="宋体"/>
        </w:rPr>
      </w:pPr>
      <w:r w:rsidRPr="00CE3A76">
        <w:rPr>
          <w:rFonts w:hAnsi="宋体" w:hint="eastAsia"/>
        </w:rPr>
        <w:t>—复合：</w:t>
      </w:r>
    </w:p>
    <w:p w14:paraId="1835072D" w14:textId="77777777" w:rsidR="002247E5" w:rsidRPr="00CE3A76" w:rsidRDefault="002247E5" w:rsidP="00CE3A76">
      <w:pPr>
        <w:pStyle w:val="afff2"/>
        <w:spacing w:line="360" w:lineRule="auto"/>
        <w:ind w:left="0"/>
        <w:rPr>
          <w:rFonts w:hAnsi="宋体"/>
        </w:rPr>
      </w:pPr>
      <w:r w:rsidRPr="00CE3A76">
        <w:rPr>
          <w:rFonts w:hAnsi="宋体" w:hint="eastAsia"/>
        </w:rPr>
        <w:t>—焊接方向（电弧在前或在后）；</w:t>
      </w:r>
    </w:p>
    <w:p w14:paraId="45610A63" w14:textId="77777777" w:rsidR="002247E5" w:rsidRPr="00CE3A76" w:rsidRDefault="002247E5" w:rsidP="00CE3A76">
      <w:pPr>
        <w:pStyle w:val="afff2"/>
        <w:spacing w:line="360" w:lineRule="auto"/>
        <w:ind w:left="0"/>
        <w:rPr>
          <w:rFonts w:hAnsi="宋体"/>
        </w:rPr>
      </w:pPr>
      <w:r w:rsidRPr="00CE3A76">
        <w:rPr>
          <w:rFonts w:hAnsi="宋体" w:hint="eastAsia"/>
        </w:rPr>
        <w:t>—光束与电极轴线（工件表面，沿焊缝中心线方向）的距离；</w:t>
      </w:r>
    </w:p>
    <w:p w14:paraId="36D844EB" w14:textId="77777777" w:rsidR="002247E5" w:rsidRPr="00CE3A76" w:rsidRDefault="002247E5" w:rsidP="00CE3A76">
      <w:pPr>
        <w:pStyle w:val="afff2"/>
        <w:spacing w:line="360" w:lineRule="auto"/>
        <w:ind w:left="0"/>
        <w:rPr>
          <w:rFonts w:hAnsi="宋体"/>
        </w:rPr>
      </w:pPr>
      <w:r w:rsidRPr="00CE3A76">
        <w:rPr>
          <w:rFonts w:hAnsi="宋体" w:hint="eastAsia"/>
        </w:rPr>
        <w:t>—光束与电极轴线的夹角。</w:t>
      </w:r>
    </w:p>
    <w:p w14:paraId="21D8B3C1" w14:textId="77777777" w:rsidR="002247E5" w:rsidRPr="00CE3A76" w:rsidRDefault="002247E5" w:rsidP="00CE3A76">
      <w:pPr>
        <w:pStyle w:val="a"/>
        <w:numPr>
          <w:ilvl w:val="0"/>
          <w:numId w:val="0"/>
        </w:numPr>
        <w:spacing w:before="312" w:after="312"/>
        <w:outlineLvl w:val="0"/>
      </w:pPr>
      <w:bookmarkStart w:id="100" w:name="_Toc111304471"/>
      <w:r w:rsidRPr="00CE3A76">
        <w:rPr>
          <w:rFonts w:hint="eastAsia"/>
        </w:rPr>
        <w:t>6.13 预热及焊后热处理</w:t>
      </w:r>
      <w:bookmarkEnd w:id="100"/>
    </w:p>
    <w:p w14:paraId="1174B86D" w14:textId="77777777" w:rsidR="002247E5" w:rsidRPr="00CE3A76" w:rsidRDefault="002247E5" w:rsidP="00CE3A76">
      <w:pPr>
        <w:pStyle w:val="afff2"/>
        <w:spacing w:line="360" w:lineRule="auto"/>
        <w:ind w:left="0"/>
        <w:rPr>
          <w:rFonts w:hAnsi="宋体"/>
        </w:rPr>
      </w:pPr>
      <w:r>
        <w:rPr>
          <w:rFonts w:hint="eastAsia"/>
        </w:rPr>
        <w:lastRenderedPageBreak/>
        <w:t>如</w:t>
      </w:r>
      <w:r w:rsidRPr="00CE3A76">
        <w:rPr>
          <w:rFonts w:hAnsi="宋体" w:hint="eastAsia"/>
        </w:rPr>
        <w:t>果需要预热或焊后热处理，则相应的 pWPS 和 WPS 应对预热和焊后热处理的要求进行规定。</w:t>
      </w:r>
    </w:p>
    <w:p w14:paraId="45D3E1BF" w14:textId="77777777" w:rsidR="002247E5" w:rsidRPr="0089530D" w:rsidRDefault="002247E5" w:rsidP="0089530D">
      <w:pPr>
        <w:pStyle w:val="a"/>
        <w:numPr>
          <w:ilvl w:val="0"/>
          <w:numId w:val="0"/>
        </w:numPr>
        <w:spacing w:before="312" w:after="312"/>
        <w:outlineLvl w:val="0"/>
      </w:pPr>
      <w:r w:rsidRPr="0089530D">
        <w:rPr>
          <w:rFonts w:hint="eastAsia"/>
        </w:rPr>
        <w:t>6.13.1 预热温度</w:t>
      </w:r>
    </w:p>
    <w:p w14:paraId="6C884668" w14:textId="77777777" w:rsidR="002247E5" w:rsidRPr="00CE3A76" w:rsidRDefault="002247E5" w:rsidP="00CE3A76">
      <w:pPr>
        <w:pStyle w:val="afff2"/>
        <w:spacing w:line="360" w:lineRule="auto"/>
        <w:ind w:left="0"/>
        <w:rPr>
          <w:rFonts w:hAnsi="宋体"/>
        </w:rPr>
      </w:pPr>
      <w:r w:rsidRPr="00CE3A76">
        <w:rPr>
          <w:rFonts w:hAnsi="宋体" w:hint="eastAsia"/>
        </w:rPr>
        <w:t>—开始焊接时的预热温度。</w:t>
      </w:r>
    </w:p>
    <w:p w14:paraId="430204CF" w14:textId="77777777" w:rsidR="002247E5" w:rsidRPr="00CE3A76" w:rsidRDefault="002247E5" w:rsidP="00CE3A76">
      <w:pPr>
        <w:pStyle w:val="afff2"/>
        <w:spacing w:line="360" w:lineRule="auto"/>
        <w:ind w:left="0"/>
        <w:rPr>
          <w:rFonts w:hAnsi="宋体"/>
        </w:rPr>
      </w:pPr>
      <w:r w:rsidRPr="00CE3A76">
        <w:rPr>
          <w:rFonts w:hAnsi="宋体" w:hint="eastAsia"/>
        </w:rPr>
        <w:t>—不需要预热时，应给出焊前工件的最低温度。</w:t>
      </w:r>
    </w:p>
    <w:p w14:paraId="3F7F4AF2" w14:textId="77777777" w:rsidR="002247E5" w:rsidRPr="0089530D" w:rsidRDefault="002247E5" w:rsidP="0089530D">
      <w:pPr>
        <w:pStyle w:val="a"/>
        <w:numPr>
          <w:ilvl w:val="0"/>
          <w:numId w:val="0"/>
        </w:numPr>
        <w:spacing w:before="312" w:after="312"/>
        <w:outlineLvl w:val="0"/>
      </w:pPr>
      <w:r w:rsidRPr="0089530D">
        <w:rPr>
          <w:rFonts w:hint="eastAsia"/>
        </w:rPr>
        <w:t>6.13.2 道间温度</w:t>
      </w:r>
    </w:p>
    <w:p w14:paraId="116B0646" w14:textId="77777777" w:rsidR="002247E5" w:rsidRPr="00CE3A76" w:rsidRDefault="002247E5" w:rsidP="00CE3A76">
      <w:pPr>
        <w:pStyle w:val="afff2"/>
        <w:spacing w:line="360" w:lineRule="auto"/>
        <w:ind w:left="0"/>
        <w:rPr>
          <w:rFonts w:hAnsi="宋体"/>
        </w:rPr>
      </w:pPr>
      <w:r w:rsidRPr="00CE3A76">
        <w:rPr>
          <w:rFonts w:hAnsi="宋体" w:hint="eastAsia"/>
        </w:rPr>
        <w:t>应规定道间温度的上限。</w:t>
      </w:r>
    </w:p>
    <w:p w14:paraId="51DC7588" w14:textId="77777777" w:rsidR="002247E5" w:rsidRPr="0089530D" w:rsidRDefault="002247E5" w:rsidP="0089530D">
      <w:pPr>
        <w:pStyle w:val="a"/>
        <w:numPr>
          <w:ilvl w:val="0"/>
          <w:numId w:val="0"/>
        </w:numPr>
        <w:spacing w:before="312" w:after="312"/>
        <w:outlineLvl w:val="0"/>
      </w:pPr>
      <w:r w:rsidRPr="0089530D">
        <w:rPr>
          <w:rFonts w:hint="eastAsia"/>
        </w:rPr>
        <w:t>6.13.3 焊后热处理</w:t>
      </w:r>
    </w:p>
    <w:p w14:paraId="1195D4E6" w14:textId="77777777" w:rsidR="002247E5" w:rsidRDefault="002247E5" w:rsidP="00CE3A76">
      <w:pPr>
        <w:pStyle w:val="afff2"/>
        <w:spacing w:line="360" w:lineRule="auto"/>
        <w:ind w:left="0"/>
      </w:pPr>
      <w:r w:rsidRPr="00CE3A76">
        <w:rPr>
          <w:rFonts w:hAnsi="宋体" w:hint="eastAsia"/>
        </w:rPr>
        <w:t>焊后热处理应根据</w:t>
      </w:r>
      <w:r>
        <w:rPr>
          <w:rFonts w:hint="eastAsia"/>
        </w:rPr>
        <w:t>相关标准和规范确定。</w:t>
      </w:r>
    </w:p>
    <w:p w14:paraId="3C154403" w14:textId="77777777" w:rsidR="002247E5" w:rsidRPr="00CE3A76" w:rsidRDefault="002247E5" w:rsidP="00CE3A76">
      <w:pPr>
        <w:pStyle w:val="a"/>
        <w:numPr>
          <w:ilvl w:val="0"/>
          <w:numId w:val="0"/>
        </w:numPr>
        <w:spacing w:before="312" w:after="312"/>
        <w:outlineLvl w:val="0"/>
      </w:pPr>
      <w:bookmarkStart w:id="101" w:name="_Toc111304472"/>
      <w:r w:rsidRPr="00CE3A76">
        <w:rPr>
          <w:rFonts w:hint="eastAsia"/>
        </w:rPr>
        <w:t>6.14 焊前及焊后操作</w:t>
      </w:r>
      <w:bookmarkEnd w:id="101"/>
    </w:p>
    <w:p w14:paraId="16DEF35F" w14:textId="77777777" w:rsidR="002247E5" w:rsidRDefault="002247E5" w:rsidP="00CE3A76">
      <w:pPr>
        <w:pStyle w:val="afff2"/>
        <w:spacing w:line="360" w:lineRule="auto"/>
        <w:ind w:left="0"/>
      </w:pPr>
      <w:r>
        <w:rPr>
          <w:rFonts w:hint="eastAsia"/>
        </w:rPr>
        <w:t>所有的机械打磨、化学处理及热处理要求应在 WPS 中做出规定。</w:t>
      </w:r>
    </w:p>
    <w:p w14:paraId="022B338B" w14:textId="77777777" w:rsidR="002247E5" w:rsidRDefault="002247E5" w:rsidP="00CE3A76">
      <w:pPr>
        <w:pStyle w:val="afff2"/>
        <w:spacing w:line="360" w:lineRule="auto"/>
        <w:ind w:left="0"/>
      </w:pPr>
    </w:p>
    <w:p w14:paraId="4E651F88" w14:textId="77777777" w:rsidR="002247E5" w:rsidRPr="00CE3A76" w:rsidRDefault="002247E5" w:rsidP="00CE3A76">
      <w:pPr>
        <w:pStyle w:val="a"/>
        <w:numPr>
          <w:ilvl w:val="0"/>
          <w:numId w:val="19"/>
        </w:numPr>
        <w:spacing w:before="312" w:after="312"/>
        <w:outlineLvl w:val="0"/>
      </w:pPr>
      <w:bookmarkStart w:id="102" w:name="_Toc111304473"/>
      <w:r w:rsidRPr="00CE3A76">
        <w:rPr>
          <w:rFonts w:hint="eastAsia"/>
        </w:rPr>
        <w:t>焊接工艺试验</w:t>
      </w:r>
      <w:bookmarkEnd w:id="102"/>
    </w:p>
    <w:p w14:paraId="18777B8E" w14:textId="77777777" w:rsidR="002247E5" w:rsidRPr="00CE3A76" w:rsidRDefault="002247E5" w:rsidP="00CE3A76">
      <w:pPr>
        <w:pStyle w:val="a"/>
        <w:numPr>
          <w:ilvl w:val="0"/>
          <w:numId w:val="0"/>
        </w:numPr>
        <w:spacing w:before="312" w:after="312"/>
        <w:outlineLvl w:val="0"/>
      </w:pPr>
      <w:bookmarkStart w:id="103" w:name="_Toc111304474"/>
      <w:r w:rsidRPr="00CE3A76">
        <w:rPr>
          <w:rFonts w:hint="eastAsia"/>
        </w:rPr>
        <w:t>7.1 总则</w:t>
      </w:r>
      <w:bookmarkEnd w:id="103"/>
    </w:p>
    <w:p w14:paraId="3ACBA438" w14:textId="77777777" w:rsidR="002247E5" w:rsidRDefault="002247E5" w:rsidP="00CE3A76">
      <w:pPr>
        <w:pStyle w:val="afff2"/>
        <w:spacing w:line="360" w:lineRule="auto"/>
        <w:ind w:left="0"/>
      </w:pPr>
      <w:r>
        <w:rPr>
          <w:rFonts w:hint="eastAsia"/>
        </w:rPr>
        <w:t>试件的</w:t>
      </w:r>
      <w:r w:rsidRPr="00CE3A76">
        <w:rPr>
          <w:rFonts w:hAnsi="宋体" w:hint="eastAsia"/>
        </w:rPr>
        <w:t>焊接</w:t>
      </w:r>
      <w:r>
        <w:rPr>
          <w:rFonts w:hint="eastAsia"/>
        </w:rPr>
        <w:t>和试验应分别按照[7.2] 和[7.3] 至[7.4]进行。</w:t>
      </w:r>
    </w:p>
    <w:p w14:paraId="3167C393" w14:textId="77777777" w:rsidR="002247E5" w:rsidRPr="00CE3A76" w:rsidRDefault="002247E5" w:rsidP="00CE3A76">
      <w:pPr>
        <w:pStyle w:val="a"/>
        <w:numPr>
          <w:ilvl w:val="0"/>
          <w:numId w:val="0"/>
        </w:numPr>
        <w:spacing w:before="312" w:after="312"/>
        <w:outlineLvl w:val="0"/>
      </w:pPr>
      <w:bookmarkStart w:id="104" w:name="_Toc111304475"/>
      <w:r w:rsidRPr="00CE3A76">
        <w:rPr>
          <w:rFonts w:hint="eastAsia"/>
        </w:rPr>
        <w:t>7.2 试件</w:t>
      </w:r>
      <w:bookmarkEnd w:id="104"/>
    </w:p>
    <w:p w14:paraId="74C69FF6" w14:textId="77777777" w:rsidR="002247E5" w:rsidRDefault="002247E5" w:rsidP="00CE3A76">
      <w:pPr>
        <w:pStyle w:val="afff2"/>
        <w:spacing w:line="360" w:lineRule="auto"/>
        <w:ind w:left="0"/>
      </w:pPr>
      <w:r>
        <w:rPr>
          <w:rFonts w:hint="eastAsia"/>
        </w:rPr>
        <w:t>试件应</w:t>
      </w:r>
      <w:r w:rsidRPr="00CE3A76">
        <w:rPr>
          <w:rFonts w:hAnsi="宋体" w:hint="eastAsia"/>
        </w:rPr>
        <w:t>按照</w:t>
      </w:r>
      <w:r>
        <w:rPr>
          <w:rFonts w:hint="eastAsia"/>
        </w:rPr>
        <w:t xml:space="preserve"> ISO 15614-14 第 6 段的有关规定进行准备。</w:t>
      </w:r>
    </w:p>
    <w:p w14:paraId="02F39E1A" w14:textId="77777777" w:rsidR="002247E5" w:rsidRPr="00CE3A76" w:rsidRDefault="002247E5" w:rsidP="00CE3A76">
      <w:pPr>
        <w:pStyle w:val="a"/>
        <w:numPr>
          <w:ilvl w:val="0"/>
          <w:numId w:val="0"/>
        </w:numPr>
        <w:spacing w:before="312" w:after="312"/>
        <w:outlineLvl w:val="0"/>
      </w:pPr>
      <w:bookmarkStart w:id="105" w:name="_Toc111304476"/>
      <w:r w:rsidRPr="00CE3A76">
        <w:rPr>
          <w:rFonts w:hint="eastAsia"/>
        </w:rPr>
        <w:t>7.3 无损检测（NDT）</w:t>
      </w:r>
      <w:bookmarkEnd w:id="105"/>
    </w:p>
    <w:p w14:paraId="5704F721" w14:textId="77777777" w:rsidR="002247E5" w:rsidRPr="00CE3A76" w:rsidRDefault="002247E5" w:rsidP="00CE3A76">
      <w:pPr>
        <w:pStyle w:val="afff2"/>
        <w:spacing w:line="360" w:lineRule="auto"/>
        <w:ind w:left="0"/>
        <w:rPr>
          <w:rFonts w:hAnsi="宋体"/>
        </w:rPr>
      </w:pPr>
      <w:r>
        <w:rPr>
          <w:rFonts w:hint="eastAsia"/>
        </w:rPr>
        <w:t>无损检</w:t>
      </w:r>
      <w:r w:rsidRPr="00CE3A76">
        <w:rPr>
          <w:rFonts w:hAnsi="宋体" w:hint="eastAsia"/>
        </w:rPr>
        <w:t>测应在以下范围内进行：</w:t>
      </w:r>
    </w:p>
    <w:p w14:paraId="748982DB" w14:textId="77777777" w:rsidR="002247E5" w:rsidRPr="00CE3A76" w:rsidRDefault="002247E5" w:rsidP="00CE3A76">
      <w:pPr>
        <w:pStyle w:val="afff2"/>
        <w:spacing w:line="360" w:lineRule="auto"/>
        <w:ind w:left="0"/>
        <w:rPr>
          <w:rFonts w:hAnsi="宋体"/>
        </w:rPr>
      </w:pPr>
      <w:r w:rsidRPr="00CE3A76">
        <w:rPr>
          <w:rFonts w:hAnsi="宋体" w:hint="eastAsia"/>
        </w:rPr>
        <w:t>—100％目视检测；</w:t>
      </w:r>
    </w:p>
    <w:p w14:paraId="5A6E028B" w14:textId="77777777" w:rsidR="002247E5" w:rsidRPr="00CE3A76" w:rsidRDefault="002247E5" w:rsidP="00CE3A76">
      <w:pPr>
        <w:pStyle w:val="afff2"/>
        <w:spacing w:line="360" w:lineRule="auto"/>
        <w:ind w:left="0"/>
        <w:rPr>
          <w:rFonts w:hAnsi="宋体"/>
        </w:rPr>
      </w:pPr>
      <w:r w:rsidRPr="00CE3A76">
        <w:rPr>
          <w:rFonts w:hAnsi="宋体" w:hint="eastAsia"/>
        </w:rPr>
        <w:t>—100％射线检测或超声波检测；</w:t>
      </w:r>
    </w:p>
    <w:p w14:paraId="4964796B" w14:textId="77777777" w:rsidR="002247E5" w:rsidRPr="00CE3A76" w:rsidRDefault="002247E5" w:rsidP="00CE3A76">
      <w:pPr>
        <w:pStyle w:val="afff2"/>
        <w:spacing w:line="360" w:lineRule="auto"/>
        <w:ind w:left="0"/>
        <w:rPr>
          <w:rFonts w:hAnsi="宋体"/>
        </w:rPr>
      </w:pPr>
      <w:r w:rsidRPr="00CE3A76">
        <w:rPr>
          <w:rFonts w:hAnsi="宋体" w:hint="eastAsia"/>
        </w:rPr>
        <w:t>—100％表面裂纹检测（磁粉检测或渗透检测）。</w:t>
      </w:r>
    </w:p>
    <w:p w14:paraId="2E92DF6E" w14:textId="77777777" w:rsidR="002247E5" w:rsidRPr="00CE3A76" w:rsidRDefault="002247E5" w:rsidP="00CE3A76">
      <w:pPr>
        <w:pStyle w:val="afff2"/>
        <w:spacing w:line="360" w:lineRule="auto"/>
        <w:ind w:left="0"/>
        <w:rPr>
          <w:rFonts w:hAnsi="宋体"/>
        </w:rPr>
      </w:pPr>
      <w:r w:rsidRPr="00CE3A76">
        <w:rPr>
          <w:rFonts w:hAnsi="宋体" w:hint="eastAsia"/>
        </w:rPr>
        <w:t>除非另有说明，否则常规对接焊缝和角焊缝表面及内部质量通常应符合 ISO 12932-2013 中质量等级 B 的相关要求。</w:t>
      </w:r>
    </w:p>
    <w:p w14:paraId="53924578" w14:textId="77777777" w:rsidR="002247E5" w:rsidRDefault="002247E5" w:rsidP="00CE3A76">
      <w:pPr>
        <w:pStyle w:val="afff2"/>
        <w:spacing w:line="360" w:lineRule="auto"/>
        <w:ind w:left="0"/>
      </w:pPr>
      <w:r w:rsidRPr="00CE3A76">
        <w:rPr>
          <w:rFonts w:hAnsi="宋体" w:hint="eastAsia"/>
        </w:rPr>
        <w:lastRenderedPageBreak/>
        <w:t>目视检测应特别注意正确的</w:t>
      </w:r>
      <w:r>
        <w:rPr>
          <w:rFonts w:hint="eastAsia"/>
        </w:rPr>
        <w:t>熔深，气孔和杂质以及焊缝外观轮廓。</w:t>
      </w:r>
    </w:p>
    <w:p w14:paraId="2D7FE383" w14:textId="77777777" w:rsidR="002247E5" w:rsidRPr="00CE3A76" w:rsidRDefault="002247E5" w:rsidP="00CE3A76">
      <w:pPr>
        <w:pStyle w:val="a"/>
        <w:numPr>
          <w:ilvl w:val="0"/>
          <w:numId w:val="0"/>
        </w:numPr>
        <w:spacing w:before="312" w:after="312"/>
        <w:outlineLvl w:val="0"/>
      </w:pPr>
      <w:bookmarkStart w:id="106" w:name="_Toc111304477"/>
      <w:r w:rsidRPr="00CE3A76">
        <w:rPr>
          <w:rFonts w:hint="eastAsia"/>
        </w:rPr>
        <w:t>7.4 破坏性试验</w:t>
      </w:r>
      <w:bookmarkEnd w:id="106"/>
    </w:p>
    <w:p w14:paraId="1E47E70B" w14:textId="77777777" w:rsidR="002247E5" w:rsidRPr="00CE3A76" w:rsidRDefault="002247E5" w:rsidP="00CE3A76">
      <w:pPr>
        <w:pStyle w:val="afff2"/>
        <w:spacing w:line="360" w:lineRule="auto"/>
        <w:ind w:left="0"/>
        <w:rPr>
          <w:rFonts w:hAnsi="宋体"/>
        </w:rPr>
      </w:pPr>
      <w:r>
        <w:rPr>
          <w:rFonts w:hint="eastAsia"/>
        </w:rPr>
        <w:t>对于</w:t>
      </w:r>
      <w:r w:rsidRPr="00CE3A76">
        <w:rPr>
          <w:rFonts w:hAnsi="宋体" w:hint="eastAsia"/>
        </w:rPr>
        <w:t>对接焊缝，有以下相关试验（检测方法参考</w:t>
      </w:r>
      <w:r w:rsidRPr="00CE3A76">
        <w:rPr>
          <w:rFonts w:hAnsi="宋体"/>
        </w:rPr>
        <w:t>CCS</w:t>
      </w:r>
      <w:r w:rsidRPr="00CE3A76">
        <w:rPr>
          <w:rFonts w:hAnsi="宋体" w:hint="eastAsia"/>
        </w:rPr>
        <w:t xml:space="preserve"> 材料与焊接规范）：</w:t>
      </w:r>
    </w:p>
    <w:p w14:paraId="47774B4A" w14:textId="77777777" w:rsidR="002247E5" w:rsidRPr="00CE3A76" w:rsidRDefault="002247E5" w:rsidP="00CE3A76">
      <w:pPr>
        <w:pStyle w:val="afff2"/>
        <w:spacing w:line="360" w:lineRule="auto"/>
        <w:ind w:left="0"/>
        <w:rPr>
          <w:rFonts w:hAnsi="宋体"/>
        </w:rPr>
      </w:pPr>
      <w:r w:rsidRPr="00CE3A76">
        <w:rPr>
          <w:rFonts w:hAnsi="宋体" w:hint="eastAsia"/>
        </w:rPr>
        <w:t>—拉伸试验；</w:t>
      </w:r>
    </w:p>
    <w:p w14:paraId="46903BDC" w14:textId="77777777" w:rsidR="002247E5" w:rsidRPr="00CE3A76" w:rsidRDefault="002247E5" w:rsidP="00CE3A76">
      <w:pPr>
        <w:pStyle w:val="afff2"/>
        <w:spacing w:line="360" w:lineRule="auto"/>
        <w:ind w:left="0"/>
        <w:rPr>
          <w:rFonts w:hAnsi="宋体"/>
        </w:rPr>
      </w:pPr>
      <w:r w:rsidRPr="00CE3A76">
        <w:rPr>
          <w:rFonts w:hAnsi="宋体" w:hint="eastAsia"/>
        </w:rPr>
        <w:t>—弯曲试验；</w:t>
      </w:r>
    </w:p>
    <w:p w14:paraId="265548EE" w14:textId="77777777" w:rsidR="002247E5" w:rsidRPr="00CE3A76" w:rsidRDefault="002247E5" w:rsidP="00CE3A76">
      <w:pPr>
        <w:pStyle w:val="afff2"/>
        <w:spacing w:line="360" w:lineRule="auto"/>
        <w:ind w:left="0"/>
        <w:rPr>
          <w:rFonts w:hAnsi="宋体"/>
        </w:rPr>
      </w:pPr>
      <w:r w:rsidRPr="00CE3A76">
        <w:rPr>
          <w:rFonts w:hAnsi="宋体" w:hint="eastAsia"/>
        </w:rPr>
        <w:t>—冲击试验；</w:t>
      </w:r>
    </w:p>
    <w:p w14:paraId="30DB9C6B" w14:textId="77777777" w:rsidR="002247E5" w:rsidRPr="00CE3A76" w:rsidRDefault="002247E5" w:rsidP="00CE3A76">
      <w:pPr>
        <w:pStyle w:val="afff2"/>
        <w:spacing w:line="360" w:lineRule="auto"/>
        <w:ind w:left="0"/>
        <w:rPr>
          <w:rFonts w:hAnsi="宋体"/>
        </w:rPr>
      </w:pPr>
      <w:r w:rsidRPr="00CE3A76">
        <w:rPr>
          <w:rFonts w:hAnsi="宋体" w:hint="eastAsia"/>
        </w:rPr>
        <w:t>—宏观断面试验；</w:t>
      </w:r>
    </w:p>
    <w:p w14:paraId="740C730F" w14:textId="77777777" w:rsidR="002247E5" w:rsidRPr="00CE3A76" w:rsidRDefault="002247E5" w:rsidP="00CE3A76">
      <w:pPr>
        <w:pStyle w:val="afff2"/>
        <w:spacing w:line="360" w:lineRule="auto"/>
        <w:ind w:left="0"/>
        <w:rPr>
          <w:rFonts w:hAnsi="宋体"/>
        </w:rPr>
      </w:pPr>
      <w:r w:rsidRPr="00CE3A76">
        <w:rPr>
          <w:rFonts w:hAnsi="宋体" w:hint="eastAsia"/>
        </w:rPr>
        <w:t>—硬度试验。</w:t>
      </w:r>
    </w:p>
    <w:p w14:paraId="1CA6FD83" w14:textId="77777777" w:rsidR="002247E5" w:rsidRPr="00CE3A76" w:rsidRDefault="002247E5" w:rsidP="00CE3A76">
      <w:pPr>
        <w:pStyle w:val="afff2"/>
        <w:spacing w:line="360" w:lineRule="auto"/>
        <w:ind w:left="0"/>
        <w:rPr>
          <w:rFonts w:hAnsi="宋体"/>
        </w:rPr>
      </w:pPr>
      <w:r w:rsidRPr="00CE3A76">
        <w:rPr>
          <w:rFonts w:hAnsi="宋体" w:hint="eastAsia"/>
        </w:rPr>
        <w:t>试验数量和试验结果应符合船级社的规定。弯曲试验在这方面非常重要，因为这种特殊的焊接工艺可能会产生难以通过常规 NDT 方法检测到的缺陷，但很容易通过弯曲试验检测到。</w:t>
      </w:r>
    </w:p>
    <w:p w14:paraId="4D585631" w14:textId="77777777" w:rsidR="002247E5" w:rsidRPr="00CE3A76" w:rsidRDefault="002247E5" w:rsidP="00CE3A76">
      <w:pPr>
        <w:pStyle w:val="afff2"/>
        <w:spacing w:line="360" w:lineRule="auto"/>
        <w:ind w:left="0"/>
        <w:rPr>
          <w:rFonts w:hAnsi="宋体"/>
        </w:rPr>
      </w:pPr>
      <w:r w:rsidRPr="00CE3A76">
        <w:rPr>
          <w:rFonts w:hAnsi="宋体" w:hint="eastAsia"/>
        </w:rPr>
        <w:t>在宏观断面上，可能会出现尖锐转变。如有疑问，必须在试验期间测试这种几何形状的疲劳效果。但是，经验表明，与常规焊缝相比，即使根部侧面的焊缝轮廓也不理想，也不会损害激光电弧复合焊接的疲劳性能。</w:t>
      </w:r>
    </w:p>
    <w:p w14:paraId="50EF7A34" w14:textId="77777777" w:rsidR="002247E5" w:rsidRPr="00CE3A76" w:rsidRDefault="002247E5" w:rsidP="00CE3A76">
      <w:pPr>
        <w:pStyle w:val="afff2"/>
        <w:spacing w:line="360" w:lineRule="auto"/>
        <w:ind w:left="0"/>
        <w:rPr>
          <w:rFonts w:hAnsi="宋体"/>
        </w:rPr>
      </w:pPr>
      <w:r w:rsidRPr="00CE3A76">
        <w:rPr>
          <w:rFonts w:hAnsi="宋体" w:hint="eastAsia"/>
        </w:rPr>
        <w:t>在任何情况下，在目视检测过程中，必须使用认可的宏观部分作为生产焊缝几何形状合格的参考。</w:t>
      </w:r>
    </w:p>
    <w:p w14:paraId="0E300605" w14:textId="77777777" w:rsidR="002247E5" w:rsidRPr="00CE3A76" w:rsidRDefault="002247E5" w:rsidP="00CE3A76">
      <w:pPr>
        <w:pStyle w:val="afff2"/>
        <w:spacing w:line="360" w:lineRule="auto"/>
        <w:ind w:left="0"/>
        <w:rPr>
          <w:rFonts w:hAnsi="宋体"/>
        </w:rPr>
      </w:pPr>
      <w:r w:rsidRPr="00CE3A76">
        <w:rPr>
          <w:rFonts w:hAnsi="宋体" w:hint="eastAsia"/>
        </w:rPr>
        <w:t>对于角焊缝，有以下相关试验：</w:t>
      </w:r>
    </w:p>
    <w:p w14:paraId="63639B39" w14:textId="77777777" w:rsidR="002247E5" w:rsidRPr="00CE3A76" w:rsidRDefault="002247E5" w:rsidP="00CE3A76">
      <w:pPr>
        <w:pStyle w:val="afff2"/>
        <w:spacing w:line="360" w:lineRule="auto"/>
        <w:ind w:left="0"/>
        <w:rPr>
          <w:rFonts w:hAnsi="宋体"/>
        </w:rPr>
      </w:pPr>
      <w:r w:rsidRPr="00CE3A76">
        <w:rPr>
          <w:rFonts w:hAnsi="宋体" w:hint="eastAsia"/>
        </w:rPr>
        <w:t>—宏观断面试验；</w:t>
      </w:r>
    </w:p>
    <w:p w14:paraId="7F46B664" w14:textId="77777777" w:rsidR="002247E5" w:rsidRPr="00CE3A76" w:rsidRDefault="002247E5" w:rsidP="00CE3A76">
      <w:pPr>
        <w:pStyle w:val="afff2"/>
        <w:spacing w:line="360" w:lineRule="auto"/>
        <w:ind w:left="0"/>
        <w:rPr>
          <w:rFonts w:hAnsi="宋体"/>
        </w:rPr>
      </w:pPr>
      <w:r w:rsidRPr="00CE3A76">
        <w:rPr>
          <w:rFonts w:hAnsi="宋体" w:hint="eastAsia"/>
        </w:rPr>
        <w:t>—硬度试验；</w:t>
      </w:r>
    </w:p>
    <w:p w14:paraId="56D00E9E" w14:textId="77777777" w:rsidR="002247E5" w:rsidRPr="00CE3A76" w:rsidRDefault="002247E5" w:rsidP="00CE3A76">
      <w:pPr>
        <w:pStyle w:val="afff2"/>
        <w:spacing w:line="360" w:lineRule="auto"/>
        <w:ind w:left="0"/>
        <w:rPr>
          <w:rFonts w:hAnsi="宋体"/>
        </w:rPr>
      </w:pPr>
      <w:r w:rsidRPr="00CE3A76">
        <w:rPr>
          <w:rFonts w:hAnsi="宋体" w:hint="eastAsia"/>
        </w:rPr>
        <w:t>—破断试验；</w:t>
      </w:r>
    </w:p>
    <w:p w14:paraId="06CD99A5" w14:textId="77777777" w:rsidR="002247E5" w:rsidRDefault="002247E5" w:rsidP="00CE3A76">
      <w:pPr>
        <w:pStyle w:val="afff2"/>
        <w:spacing w:line="360" w:lineRule="auto"/>
        <w:ind w:left="0"/>
      </w:pPr>
      <w:r w:rsidRPr="00CE3A76">
        <w:rPr>
          <w:rFonts w:hAnsi="宋体" w:hint="eastAsia"/>
        </w:rPr>
        <w:t>重新试验应符合船级社级</w:t>
      </w:r>
      <w:r>
        <w:rPr>
          <w:rFonts w:hint="eastAsia"/>
        </w:rPr>
        <w:t>和相关标准的规定。</w:t>
      </w:r>
    </w:p>
    <w:p w14:paraId="188C050B" w14:textId="77777777" w:rsidR="002247E5" w:rsidRPr="00CE3A76" w:rsidRDefault="002247E5" w:rsidP="00CE3A76">
      <w:pPr>
        <w:pStyle w:val="a"/>
        <w:numPr>
          <w:ilvl w:val="0"/>
          <w:numId w:val="0"/>
        </w:numPr>
        <w:spacing w:before="312" w:after="312"/>
        <w:outlineLvl w:val="0"/>
      </w:pPr>
      <w:bookmarkStart w:id="107" w:name="_Toc111304478"/>
      <w:r w:rsidRPr="00CE3A76">
        <w:rPr>
          <w:rFonts w:hint="eastAsia"/>
        </w:rPr>
        <w:t>7.5 认可范围（基本变量）</w:t>
      </w:r>
      <w:bookmarkEnd w:id="107"/>
    </w:p>
    <w:p w14:paraId="4EAA3004" w14:textId="77777777" w:rsidR="002247E5" w:rsidRPr="00CE3A76" w:rsidRDefault="002247E5" w:rsidP="00CE3A76">
      <w:pPr>
        <w:pStyle w:val="afff2"/>
        <w:spacing w:line="360" w:lineRule="auto"/>
        <w:ind w:left="0"/>
        <w:rPr>
          <w:rFonts w:hAnsi="宋体"/>
        </w:rPr>
      </w:pPr>
      <w:r w:rsidRPr="00CE3A76">
        <w:rPr>
          <w:rFonts w:hAnsi="宋体" w:hint="eastAsia"/>
        </w:rPr>
        <w:t>焊接工艺试验结束后，应根据以下规定的认可范围制定焊接工艺规程(WPS)，任何超出范围的变化，应要求进行新的焊接工艺试验。</w:t>
      </w:r>
    </w:p>
    <w:p w14:paraId="7200EC0E" w14:textId="77777777" w:rsidR="002247E5" w:rsidRPr="00CE3A76" w:rsidRDefault="002247E5" w:rsidP="00CE3A76">
      <w:pPr>
        <w:pStyle w:val="afff2"/>
        <w:spacing w:line="360" w:lineRule="auto"/>
        <w:ind w:left="0"/>
        <w:rPr>
          <w:rFonts w:hAnsi="宋体"/>
        </w:rPr>
      </w:pPr>
      <w:r w:rsidRPr="00CE3A76">
        <w:rPr>
          <w:rFonts w:hAnsi="宋体" w:hint="eastAsia"/>
        </w:rPr>
        <w:t>制造商：在相同的技术和质量管理下，制造商合格的焊接工艺适合在车间焊接。</w:t>
      </w:r>
    </w:p>
    <w:p w14:paraId="286CD6CA" w14:textId="77777777" w:rsidR="002247E5" w:rsidRPr="00CE3A76" w:rsidRDefault="002247E5" w:rsidP="00CE3A76">
      <w:pPr>
        <w:pStyle w:val="afff2"/>
        <w:spacing w:line="360" w:lineRule="auto"/>
        <w:ind w:left="0"/>
        <w:rPr>
          <w:rFonts w:hAnsi="宋体"/>
        </w:rPr>
      </w:pPr>
      <w:r w:rsidRPr="00CE3A76">
        <w:rPr>
          <w:rFonts w:hAnsi="宋体" w:hint="eastAsia"/>
        </w:rPr>
        <w:t>母材：对于 EH36 及以下的普通强度钢和高强度钢，对于每种强度等级，焊接工艺被认为适用于所试验的相同和较低韧性等级的钢。对于每一种韧性等级，焊接程序都被认为适用于所试验的相同和较低的强度水平。</w:t>
      </w:r>
    </w:p>
    <w:p w14:paraId="7278C70A" w14:textId="77777777" w:rsidR="002247E5" w:rsidRPr="00CE3A76" w:rsidRDefault="002247E5" w:rsidP="00CE3A76">
      <w:pPr>
        <w:pStyle w:val="afff2"/>
        <w:spacing w:line="360" w:lineRule="auto"/>
        <w:ind w:left="0"/>
        <w:rPr>
          <w:rFonts w:hAnsi="宋体"/>
        </w:rPr>
      </w:pPr>
      <w:r w:rsidRPr="00CE3A76">
        <w:rPr>
          <w:rFonts w:hAnsi="宋体" w:hint="eastAsia"/>
        </w:rPr>
        <w:lastRenderedPageBreak/>
        <w:t>材料厚度：对于全熔透对接接头和 T 接头（单面和双面焊接），试板厚度(对接接头的板厚和 T 接头的腹板厚度) 小于 5mm 时，适用范围仅限于试验厚度；试板厚度等于或大于 5mm 时，适用范围为试验厚度的 0.8 倍至 1 倍。</w:t>
      </w:r>
    </w:p>
    <w:p w14:paraId="1E78CBA9" w14:textId="77777777" w:rsidR="002247E5" w:rsidRPr="00CE3A76" w:rsidRDefault="002247E5" w:rsidP="00CE3A76">
      <w:pPr>
        <w:pStyle w:val="afff2"/>
        <w:spacing w:line="360" w:lineRule="auto"/>
        <w:ind w:left="0"/>
        <w:rPr>
          <w:rFonts w:hAnsi="宋体"/>
        </w:rPr>
      </w:pPr>
      <w:r w:rsidRPr="00CE3A76">
        <w:rPr>
          <w:rFonts w:hAnsi="宋体" w:hint="eastAsia"/>
        </w:rPr>
        <w:t>焊接工艺：每种机械化程序都应独立合格（全机械化和自动化）。激光电弧复合焊接与其他焊接方法组合焊的评定应通过组合焊试验进行。不允许使用组合焊工艺覆盖独立的焊接工艺。</w:t>
      </w:r>
    </w:p>
    <w:p w14:paraId="1B29E425" w14:textId="77777777" w:rsidR="002247E5" w:rsidRPr="00CE3A76" w:rsidRDefault="002247E5" w:rsidP="00CE3A76">
      <w:pPr>
        <w:pStyle w:val="afff2"/>
        <w:spacing w:line="360" w:lineRule="auto"/>
        <w:ind w:left="0"/>
        <w:rPr>
          <w:rFonts w:hAnsi="宋体"/>
        </w:rPr>
      </w:pPr>
      <w:r w:rsidRPr="00CE3A76">
        <w:rPr>
          <w:rFonts w:hAnsi="宋体" w:hint="eastAsia"/>
        </w:rPr>
        <w:t>焊接位置：位置的覆盖范围仅限定于试验位置。接头和焊缝类型：对任何一种类型的接头或焊缝的焊接仅限定试验的接头或焊缝类型。</w:t>
      </w:r>
    </w:p>
    <w:p w14:paraId="31221970" w14:textId="77777777" w:rsidR="002247E5" w:rsidRPr="00CE3A76" w:rsidRDefault="002247E5" w:rsidP="00CE3A76">
      <w:pPr>
        <w:pStyle w:val="afff2"/>
        <w:spacing w:line="360" w:lineRule="auto"/>
        <w:ind w:left="0"/>
        <w:rPr>
          <w:rFonts w:hAnsi="宋体"/>
        </w:rPr>
      </w:pPr>
      <w:r w:rsidRPr="00CE3A76">
        <w:rPr>
          <w:rFonts w:hAnsi="宋体" w:hint="eastAsia"/>
        </w:rPr>
        <w:t>焊道层数：合格的 WPS 的焊道层数仅限于与试验层数相同。</w:t>
      </w:r>
    </w:p>
    <w:p w14:paraId="0436A7CC" w14:textId="77777777" w:rsidR="002247E5" w:rsidRPr="00CE3A76" w:rsidRDefault="002247E5" w:rsidP="00CE3A76">
      <w:pPr>
        <w:pStyle w:val="afff2"/>
        <w:spacing w:line="360" w:lineRule="auto"/>
        <w:ind w:left="0"/>
        <w:rPr>
          <w:rFonts w:hAnsi="宋体"/>
        </w:rPr>
      </w:pPr>
      <w:r w:rsidRPr="00CE3A76">
        <w:rPr>
          <w:rFonts w:hAnsi="宋体" w:hint="eastAsia"/>
        </w:rPr>
        <w:t>焊接材料：应用仅限于使用试验的焊材品牌和焊材规格的组合。当焊材品牌和焊材规格发生任何变化时，需重新进行焊接试验。</w:t>
      </w:r>
    </w:p>
    <w:p w14:paraId="3FCFE2E0" w14:textId="77777777" w:rsidR="002247E5" w:rsidRPr="00CE3A76" w:rsidRDefault="002247E5" w:rsidP="00CE3A76">
      <w:pPr>
        <w:pStyle w:val="afff2"/>
        <w:spacing w:line="360" w:lineRule="auto"/>
        <w:ind w:left="0"/>
        <w:rPr>
          <w:rFonts w:hAnsi="宋体"/>
        </w:rPr>
      </w:pPr>
      <w:r w:rsidRPr="00CE3A76">
        <w:rPr>
          <w:rFonts w:hAnsi="宋体" w:hint="eastAsia"/>
        </w:rPr>
        <w:t>电流和极性的类型：对焊接工艺试验中使用的电流[交流(AC)、直流(DC)、脉冲电流]和极性的类型应进行确定。</w:t>
      </w:r>
    </w:p>
    <w:p w14:paraId="253F73D5" w14:textId="77777777" w:rsidR="002247E5" w:rsidRPr="00CE3A76" w:rsidRDefault="002247E5" w:rsidP="00CE3A76">
      <w:pPr>
        <w:pStyle w:val="afff2"/>
        <w:spacing w:line="360" w:lineRule="auto"/>
        <w:ind w:left="0"/>
        <w:rPr>
          <w:rFonts w:hAnsi="宋体"/>
        </w:rPr>
      </w:pPr>
      <w:r w:rsidRPr="00CE3A76">
        <w:rPr>
          <w:rFonts w:hAnsi="宋体" w:hint="eastAsia"/>
        </w:rPr>
        <w:t>预热及层间温度:当需要预热时，预热温度的下限为焊接工艺试验开始时使用的预热温度。层间温度的上限是焊接工艺试验中的最大层间温度。</w:t>
      </w:r>
    </w:p>
    <w:p w14:paraId="0E4B7EA9" w14:textId="77777777" w:rsidR="002247E5" w:rsidRPr="00CE3A76" w:rsidRDefault="002247E5" w:rsidP="00CE3A76">
      <w:pPr>
        <w:pStyle w:val="afff2"/>
        <w:spacing w:line="360" w:lineRule="auto"/>
        <w:ind w:left="0"/>
        <w:rPr>
          <w:rFonts w:hAnsi="宋体"/>
        </w:rPr>
      </w:pPr>
      <w:r w:rsidRPr="00CE3A76">
        <w:rPr>
          <w:rFonts w:hAnsi="宋体" w:hint="eastAsia"/>
        </w:rPr>
        <w:t>焊后热处理：沉淀硬化材料焊接前的初始热处理条件不允许变化。不允许增加或者去除热处理。</w:t>
      </w:r>
    </w:p>
    <w:p w14:paraId="0146C96D" w14:textId="77777777" w:rsidR="002247E5" w:rsidRPr="00CE3A76" w:rsidRDefault="002247E5" w:rsidP="00CE3A76">
      <w:pPr>
        <w:pStyle w:val="afff2"/>
        <w:spacing w:line="360" w:lineRule="auto"/>
        <w:ind w:left="0"/>
        <w:rPr>
          <w:rFonts w:hAnsi="宋体"/>
        </w:rPr>
      </w:pPr>
      <w:r w:rsidRPr="00CE3A76">
        <w:rPr>
          <w:rFonts w:hAnsi="宋体" w:hint="eastAsia"/>
        </w:rPr>
        <w:t>热输入：热输入量的适用范围为焊接工艺试验时使用的值的±15%，热输入的计算公式如下：</w:t>
      </w:r>
    </w:p>
    <w:p w14:paraId="13AA1EA3" w14:textId="77777777" w:rsidR="002247E5" w:rsidRDefault="002247E5" w:rsidP="00CE3A76">
      <w:pPr>
        <w:pStyle w:val="afffffff2"/>
        <w:jc w:val="center"/>
      </w:pPr>
      <w:r>
        <w:t>Q</w:t>
      </w:r>
      <w:r>
        <w:rPr>
          <w:vertAlign w:val="subscript"/>
        </w:rPr>
        <w:t>nom</w:t>
      </w:r>
      <w:r>
        <w:t>=</w:t>
      </w:r>
      <w:r>
        <w:rPr>
          <w:rFonts w:ascii="宋体" w:eastAsia="宋体" w:hAnsi="宋体" w:hint="eastAsia"/>
        </w:rPr>
        <w:t>（</w:t>
      </w:r>
      <w:r>
        <w:t>P+U</w:t>
      </w:r>
      <w:r>
        <w:rPr>
          <w:rFonts w:ascii="Arial" w:eastAsia="Arial" w:hAnsi="Arial"/>
          <w:sz w:val="24"/>
        </w:rPr>
        <w:t>×</w:t>
      </w:r>
      <w:r>
        <w:t>I</w:t>
      </w:r>
      <w:r>
        <w:rPr>
          <w:rFonts w:ascii="宋体" w:eastAsia="宋体" w:hAnsi="宋体" w:hint="eastAsia"/>
        </w:rPr>
        <w:t>）</w:t>
      </w:r>
      <w:r>
        <w:t>×10</w:t>
      </w:r>
      <w:r>
        <w:rPr>
          <w:position w:val="10"/>
          <w:sz w:val="14"/>
        </w:rPr>
        <w:t>-3</w:t>
      </w:r>
      <w:r>
        <w:t>/ V</w:t>
      </w:r>
    </w:p>
    <w:p w14:paraId="00660400" w14:textId="77777777" w:rsidR="002247E5" w:rsidRPr="00CE3A76" w:rsidRDefault="002247E5" w:rsidP="00CE3A76">
      <w:pPr>
        <w:pStyle w:val="afff2"/>
        <w:spacing w:line="360" w:lineRule="auto"/>
        <w:ind w:left="0"/>
        <w:rPr>
          <w:rFonts w:hAnsi="宋体"/>
        </w:rPr>
      </w:pPr>
      <w:r w:rsidRPr="00CE3A76">
        <w:rPr>
          <w:rFonts w:hAnsi="宋体" w:hint="eastAsia"/>
        </w:rPr>
        <w:t>公式中：</w:t>
      </w:r>
    </w:p>
    <w:p w14:paraId="64B41621" w14:textId="77777777" w:rsidR="002247E5" w:rsidRPr="00CE3A76" w:rsidRDefault="002247E5" w:rsidP="00CE3A76">
      <w:pPr>
        <w:pStyle w:val="afff2"/>
        <w:spacing w:line="360" w:lineRule="auto"/>
        <w:ind w:left="0"/>
        <w:rPr>
          <w:rFonts w:hAnsi="宋体"/>
        </w:rPr>
      </w:pPr>
      <w:r w:rsidRPr="00CE3A76">
        <w:rPr>
          <w:rFonts w:hAnsi="宋体" w:hint="eastAsia"/>
        </w:rPr>
        <w:t>Qnom：是指热输入,单位为千焦/毫米；</w:t>
      </w:r>
    </w:p>
    <w:p w14:paraId="6BC1D2EE" w14:textId="77777777" w:rsidR="002247E5" w:rsidRPr="00CE3A76" w:rsidRDefault="002247E5" w:rsidP="00CE3A76">
      <w:pPr>
        <w:pStyle w:val="afff2"/>
        <w:spacing w:line="360" w:lineRule="auto"/>
        <w:ind w:left="0"/>
        <w:rPr>
          <w:rFonts w:hAnsi="宋体"/>
        </w:rPr>
      </w:pPr>
      <w:r w:rsidRPr="00CE3A76">
        <w:rPr>
          <w:rFonts w:hAnsi="宋体" w:hint="eastAsia"/>
        </w:rPr>
        <w:t>P：指激光功率，单位为千瓦；</w:t>
      </w:r>
    </w:p>
    <w:p w14:paraId="05C5EA54" w14:textId="77777777" w:rsidR="002247E5" w:rsidRPr="00CE3A76" w:rsidRDefault="002247E5" w:rsidP="00CE3A76">
      <w:pPr>
        <w:pStyle w:val="afff2"/>
        <w:spacing w:line="360" w:lineRule="auto"/>
        <w:ind w:left="0"/>
        <w:rPr>
          <w:rFonts w:hAnsi="宋体"/>
        </w:rPr>
      </w:pPr>
      <w:r w:rsidRPr="00CE3A76">
        <w:rPr>
          <w:rFonts w:hAnsi="宋体" w:hint="eastAsia"/>
        </w:rPr>
        <w:t>U：电弧电压，测量时尽可能接近电弧，单位为伏特；</w:t>
      </w:r>
    </w:p>
    <w:p w14:paraId="14BB415B" w14:textId="77777777" w:rsidR="002247E5" w:rsidRPr="00CE3A76" w:rsidRDefault="002247E5" w:rsidP="00CE3A76">
      <w:pPr>
        <w:pStyle w:val="afff2"/>
        <w:spacing w:line="360" w:lineRule="auto"/>
        <w:ind w:left="0"/>
        <w:rPr>
          <w:rFonts w:hAnsi="宋体"/>
        </w:rPr>
      </w:pPr>
      <w:r w:rsidRPr="00CE3A76">
        <w:rPr>
          <w:rFonts w:hAnsi="宋体" w:hint="eastAsia"/>
        </w:rPr>
        <w:t>V：焊接电流，单位为安培；</w:t>
      </w:r>
    </w:p>
    <w:p w14:paraId="6EC6F34F" w14:textId="77777777" w:rsidR="002247E5" w:rsidRDefault="002247E5" w:rsidP="002247E5">
      <w:pPr>
        <w:pStyle w:val="afffffff2"/>
        <w:spacing w:before="37" w:line="268" w:lineRule="auto"/>
        <w:ind w:left="112" w:firstLine="1050"/>
        <w:rPr>
          <w:rFonts w:ascii="宋体" w:eastAsia="宋体"/>
          <w:lang w:eastAsia="zh-CN"/>
        </w:rPr>
      </w:pPr>
      <w:r>
        <w:rPr>
          <w:rFonts w:ascii="宋体" w:eastAsia="宋体" w:hint="eastAsia"/>
          <w:lang w:eastAsia="zh-CN"/>
        </w:rPr>
        <w:t>v：焊接速度，单位为毫米/秒。</w:t>
      </w:r>
    </w:p>
    <w:p w14:paraId="617100D4" w14:textId="77777777" w:rsidR="002247E5" w:rsidRPr="00CE3A76" w:rsidRDefault="002247E5" w:rsidP="00CE3A76">
      <w:pPr>
        <w:pStyle w:val="a"/>
        <w:numPr>
          <w:ilvl w:val="0"/>
          <w:numId w:val="0"/>
        </w:numPr>
        <w:spacing w:before="312" w:after="312"/>
        <w:outlineLvl w:val="0"/>
      </w:pPr>
      <w:bookmarkStart w:id="108" w:name="_Toc111304479"/>
      <w:r w:rsidRPr="00CE3A76">
        <w:rPr>
          <w:rFonts w:hint="eastAsia"/>
        </w:rPr>
        <w:t>7.6 焊接工艺评定记录（WPQR）</w:t>
      </w:r>
      <w:bookmarkEnd w:id="108"/>
    </w:p>
    <w:p w14:paraId="4739AAD8" w14:textId="77777777" w:rsidR="002247E5" w:rsidRPr="00CE3A76" w:rsidRDefault="002247E5" w:rsidP="00CE3A76">
      <w:pPr>
        <w:pStyle w:val="afff2"/>
        <w:spacing w:line="360" w:lineRule="auto"/>
        <w:ind w:left="0"/>
        <w:rPr>
          <w:rFonts w:hAnsi="宋体"/>
        </w:rPr>
      </w:pPr>
      <w:r w:rsidRPr="00CE3A76">
        <w:rPr>
          <w:rFonts w:hAnsi="宋体" w:hint="eastAsia"/>
        </w:rPr>
        <w:t>WPQR 是评估每个焊接试件（包括重新试验）结果的说明。ISO 15609-6 中为 WPS 列出的相关项目也应与[7.4]要求所拒绝的任何特性的细节一起包括在内。如果没有发现不合格的特性或不合格的试验结果，则详细说明焊接工艺试件结果的 WPQR 是合格的，并应由验船师或其他审核签名并注明日期。</w:t>
      </w:r>
    </w:p>
    <w:p w14:paraId="0A5BF48B" w14:textId="77777777" w:rsidR="002247E5" w:rsidRPr="00CE3A76" w:rsidRDefault="002247E5" w:rsidP="00CE3A76">
      <w:pPr>
        <w:pStyle w:val="afff2"/>
        <w:spacing w:line="360" w:lineRule="auto"/>
        <w:ind w:left="0"/>
        <w:rPr>
          <w:rFonts w:hAnsi="宋体"/>
        </w:rPr>
      </w:pPr>
      <w:r w:rsidRPr="00CE3A76">
        <w:rPr>
          <w:rFonts w:hAnsi="宋体" w:hint="eastAsia"/>
        </w:rPr>
        <w:t>WPQR 模板应用于记录焊接程序和试验结果的详细信息，以利于统一呈现和评估数据。</w:t>
      </w:r>
    </w:p>
    <w:p w14:paraId="04C12455" w14:textId="77777777" w:rsidR="002247E5" w:rsidRPr="00CE3A76" w:rsidRDefault="002247E5" w:rsidP="00CE3A76">
      <w:pPr>
        <w:pStyle w:val="afff2"/>
        <w:spacing w:line="360" w:lineRule="auto"/>
        <w:ind w:left="0"/>
        <w:rPr>
          <w:rFonts w:hAnsi="宋体"/>
        </w:rPr>
      </w:pPr>
      <w:r w:rsidRPr="00CE3A76">
        <w:rPr>
          <w:rFonts w:hAnsi="宋体" w:hint="eastAsia"/>
        </w:rPr>
        <w:t>附录B 为WPQR 模板的示例。</w:t>
      </w:r>
    </w:p>
    <w:p w14:paraId="009B8E53" w14:textId="77777777" w:rsidR="002247E5" w:rsidRPr="00CE3A76" w:rsidRDefault="002247E5" w:rsidP="00CE3A76">
      <w:pPr>
        <w:pStyle w:val="a"/>
        <w:numPr>
          <w:ilvl w:val="0"/>
          <w:numId w:val="0"/>
        </w:numPr>
        <w:spacing w:before="312" w:after="312"/>
        <w:outlineLvl w:val="0"/>
      </w:pPr>
      <w:bookmarkStart w:id="109" w:name="_Toc111304480"/>
      <w:r w:rsidRPr="00CE3A76">
        <w:rPr>
          <w:rFonts w:hint="eastAsia"/>
        </w:rPr>
        <w:lastRenderedPageBreak/>
        <w:t>7.7 表面状态</w:t>
      </w:r>
      <w:bookmarkEnd w:id="109"/>
    </w:p>
    <w:p w14:paraId="6AAFB787" w14:textId="77777777" w:rsidR="002247E5" w:rsidRPr="00CE3A76" w:rsidRDefault="002247E5" w:rsidP="00CE3A76">
      <w:pPr>
        <w:pStyle w:val="afff2"/>
        <w:spacing w:line="360" w:lineRule="auto"/>
        <w:ind w:left="0"/>
        <w:rPr>
          <w:rFonts w:hAnsi="宋体"/>
        </w:rPr>
      </w:pPr>
      <w:r w:rsidRPr="00CE3A76">
        <w:rPr>
          <w:rFonts w:hAnsi="宋体" w:hint="eastAsia"/>
        </w:rPr>
        <w:t>关于角焊缝，钢板表面去除车间底漆，以免产生气孔和飞溅，使焊接过程不稳定。</w:t>
      </w:r>
    </w:p>
    <w:p w14:paraId="7220AAC8" w14:textId="77777777" w:rsidR="002247E5" w:rsidRPr="00CE3A76" w:rsidRDefault="002247E5" w:rsidP="00CE3A76">
      <w:pPr>
        <w:pStyle w:val="a"/>
        <w:numPr>
          <w:ilvl w:val="0"/>
          <w:numId w:val="0"/>
        </w:numPr>
        <w:spacing w:before="312" w:after="312"/>
        <w:outlineLvl w:val="0"/>
      </w:pPr>
      <w:bookmarkStart w:id="110" w:name="_Toc111304481"/>
      <w:r w:rsidRPr="00CE3A76">
        <w:rPr>
          <w:rFonts w:hint="eastAsia"/>
        </w:rPr>
        <w:t>7.8 定位焊</w:t>
      </w:r>
      <w:bookmarkEnd w:id="110"/>
    </w:p>
    <w:p w14:paraId="6A449FCF" w14:textId="77777777" w:rsidR="002247E5" w:rsidRDefault="002247E5" w:rsidP="00CE3A76">
      <w:pPr>
        <w:pStyle w:val="afff2"/>
        <w:spacing w:line="360" w:lineRule="auto"/>
        <w:ind w:left="0"/>
      </w:pPr>
      <w:r w:rsidRPr="00CE3A76">
        <w:rPr>
          <w:rFonts w:hAnsi="宋体" w:hint="eastAsia"/>
        </w:rPr>
        <w:t>激光电弧复合焊接可能需要特殊的定位焊工艺。通常使用通过激光束焊接进行的定位焊接，定位尽可能的要小以至于不会影响后续焊接。同样的规则适用于其他方法的定位焊接，如果定位焊是</w:t>
      </w:r>
      <w:r>
        <w:rPr>
          <w:rFonts w:hint="eastAsia"/>
        </w:rPr>
        <w:t>成品焊缝的一部分，则定位焊程序必须经过试验和认可。</w:t>
      </w:r>
    </w:p>
    <w:p w14:paraId="65B3AA6E" w14:textId="77777777" w:rsidR="002247E5" w:rsidRDefault="002247E5" w:rsidP="002247E5">
      <w:pPr>
        <w:pStyle w:val="afffffff2"/>
        <w:spacing w:before="3"/>
        <w:ind w:firstLine="1400"/>
        <w:rPr>
          <w:rFonts w:ascii="宋体"/>
          <w:sz w:val="28"/>
          <w:lang w:eastAsia="zh-CN"/>
        </w:rPr>
      </w:pPr>
    </w:p>
    <w:p w14:paraId="389E1CD2" w14:textId="77777777" w:rsidR="002247E5" w:rsidRPr="00CE3A76" w:rsidRDefault="002247E5" w:rsidP="00CE3A76">
      <w:pPr>
        <w:pStyle w:val="a"/>
        <w:numPr>
          <w:ilvl w:val="0"/>
          <w:numId w:val="19"/>
        </w:numPr>
        <w:spacing w:before="312" w:after="312"/>
        <w:outlineLvl w:val="0"/>
      </w:pPr>
      <w:bookmarkStart w:id="111" w:name="_Toc111304482"/>
      <w:r w:rsidRPr="00CE3A76">
        <w:rPr>
          <w:rFonts w:hint="eastAsia"/>
        </w:rPr>
        <w:t>激光电弧复合焊接设备监控</w:t>
      </w:r>
      <w:bookmarkEnd w:id="111"/>
    </w:p>
    <w:p w14:paraId="24C47C7B" w14:textId="77777777" w:rsidR="002247E5" w:rsidRPr="00CE3A76" w:rsidRDefault="002247E5" w:rsidP="00CE3A76">
      <w:pPr>
        <w:pStyle w:val="a"/>
        <w:numPr>
          <w:ilvl w:val="0"/>
          <w:numId w:val="0"/>
        </w:numPr>
        <w:spacing w:before="312" w:after="312"/>
        <w:outlineLvl w:val="0"/>
      </w:pPr>
      <w:bookmarkStart w:id="112" w:name="_Toc111304483"/>
      <w:r w:rsidRPr="00CE3A76">
        <w:rPr>
          <w:rFonts w:hint="eastAsia"/>
        </w:rPr>
        <w:t>8.1 一般要求</w:t>
      </w:r>
      <w:bookmarkEnd w:id="112"/>
    </w:p>
    <w:p w14:paraId="20E84C82" w14:textId="77777777" w:rsidR="002247E5" w:rsidRDefault="002247E5" w:rsidP="00CE3A76">
      <w:pPr>
        <w:pStyle w:val="afff2"/>
        <w:spacing w:line="360" w:lineRule="auto"/>
        <w:ind w:left="0"/>
      </w:pPr>
      <w:r>
        <w:rPr>
          <w:rFonts w:hint="eastAsia"/>
        </w:rPr>
        <w:t>机器始终处于良好状态是获得可接受的焊接质量的必要前提。因此，需要对主要系统进行连续检查。这适用于机械零件和常规设备以及与激光相关的系统。</w:t>
      </w:r>
    </w:p>
    <w:p w14:paraId="0ACBD831" w14:textId="77777777" w:rsidR="002247E5" w:rsidRPr="00CE3A76" w:rsidRDefault="002247E5" w:rsidP="00CE3A76">
      <w:pPr>
        <w:pStyle w:val="a"/>
        <w:numPr>
          <w:ilvl w:val="0"/>
          <w:numId w:val="0"/>
        </w:numPr>
        <w:spacing w:before="312" w:after="312"/>
        <w:outlineLvl w:val="0"/>
      </w:pPr>
      <w:bookmarkStart w:id="113" w:name="_Toc111304484"/>
      <w:r w:rsidRPr="00CE3A76">
        <w:rPr>
          <w:rFonts w:hint="eastAsia"/>
        </w:rPr>
        <w:t>8.2 常规设备的维护和检查</w:t>
      </w:r>
      <w:bookmarkEnd w:id="113"/>
    </w:p>
    <w:p w14:paraId="493195C9" w14:textId="77777777" w:rsidR="002247E5" w:rsidRDefault="002247E5" w:rsidP="00CE3A76">
      <w:pPr>
        <w:pStyle w:val="afff2"/>
        <w:spacing w:line="360" w:lineRule="auto"/>
        <w:ind w:left="0"/>
      </w:pPr>
      <w:r>
        <w:rPr>
          <w:rFonts w:hint="eastAsia"/>
        </w:rPr>
        <w:t>夹紧系统，定位系统，铣头等机械部件应当定期根据设备供应商的规定进行检查和维护。焊缝跟踪系统对于正确定位焊头至关重要，必须进行充分维护。并应特别注意保持传感器的清洁。</w:t>
      </w:r>
    </w:p>
    <w:p w14:paraId="0E4C0C86" w14:textId="77777777" w:rsidR="002247E5" w:rsidRDefault="002247E5" w:rsidP="00CE3A76">
      <w:pPr>
        <w:pStyle w:val="afff2"/>
        <w:spacing w:line="360" w:lineRule="auto"/>
        <w:ind w:left="0"/>
      </w:pPr>
      <w:r>
        <w:rPr>
          <w:rFonts w:hint="eastAsia"/>
        </w:rPr>
        <w:t>常规焊接设备也应定期检查，测量仪器要定期校准，并根据供应商和造船厂的要求进行预防性维护。</w:t>
      </w:r>
    </w:p>
    <w:p w14:paraId="1689359E" w14:textId="77777777" w:rsidR="002247E5" w:rsidRPr="00CE3A76" w:rsidRDefault="002247E5" w:rsidP="00CE3A76">
      <w:pPr>
        <w:pStyle w:val="a"/>
        <w:numPr>
          <w:ilvl w:val="0"/>
          <w:numId w:val="0"/>
        </w:numPr>
        <w:spacing w:before="312" w:after="312"/>
        <w:outlineLvl w:val="0"/>
      </w:pPr>
      <w:bookmarkStart w:id="114" w:name="_Toc111304485"/>
      <w:r w:rsidRPr="00CE3A76">
        <w:rPr>
          <w:rFonts w:hint="eastAsia"/>
        </w:rPr>
        <w:t>8.3 激光束参数的检查和测量</w:t>
      </w:r>
      <w:bookmarkEnd w:id="114"/>
    </w:p>
    <w:p w14:paraId="28DAA612" w14:textId="77777777" w:rsidR="002247E5" w:rsidRDefault="002247E5" w:rsidP="00CE3A76">
      <w:pPr>
        <w:pStyle w:val="afff2"/>
        <w:spacing w:line="360" w:lineRule="auto"/>
        <w:ind w:left="0"/>
      </w:pPr>
      <w:r>
        <w:rPr>
          <w:rFonts w:hint="eastAsia"/>
        </w:rPr>
        <w:t>为了获得可接受且可靠的复合焊接工艺，应将激光束的性能保持在规定的范围内。</w:t>
      </w:r>
    </w:p>
    <w:p w14:paraId="6721D8CD" w14:textId="77777777" w:rsidR="002247E5" w:rsidRDefault="002247E5" w:rsidP="00CE3A76">
      <w:pPr>
        <w:pStyle w:val="afff2"/>
        <w:spacing w:line="360" w:lineRule="auto"/>
        <w:ind w:left="0"/>
      </w:pPr>
      <w:r>
        <w:rPr>
          <w:rFonts w:hint="eastAsia"/>
        </w:rPr>
        <w:t>应使用指定的设备定期测量激光束参数。获得的数据应存储在数据库中，并应支持操作员调整和进行设置。虽然要保留的详细值将是 WPS 的一部分，但是要监视的激光束的主要参数如下：</w:t>
      </w:r>
    </w:p>
    <w:p w14:paraId="18872FA1" w14:textId="77777777" w:rsidR="002247E5" w:rsidRDefault="002247E5" w:rsidP="00CE3A76">
      <w:pPr>
        <w:pStyle w:val="afff2"/>
        <w:spacing w:line="360" w:lineRule="auto"/>
        <w:ind w:left="0"/>
      </w:pPr>
      <w:r>
        <w:rPr>
          <w:rFonts w:hint="eastAsia"/>
        </w:rPr>
        <w:t>—光束直径</w:t>
      </w:r>
    </w:p>
    <w:p w14:paraId="153AF055" w14:textId="77777777" w:rsidR="002247E5" w:rsidRDefault="002247E5" w:rsidP="00CE3A76">
      <w:pPr>
        <w:pStyle w:val="afff2"/>
        <w:spacing w:line="360" w:lineRule="auto"/>
        <w:ind w:left="0"/>
      </w:pPr>
      <w:r>
        <w:rPr>
          <w:rFonts w:hint="eastAsia"/>
        </w:rPr>
        <w:t>—激光功率和功率分配；</w:t>
      </w:r>
    </w:p>
    <w:p w14:paraId="1122B33D" w14:textId="77777777" w:rsidR="002247E5" w:rsidRDefault="002247E5" w:rsidP="00CE3A76">
      <w:pPr>
        <w:pStyle w:val="afff2"/>
        <w:spacing w:line="360" w:lineRule="auto"/>
        <w:ind w:left="0"/>
      </w:pPr>
      <w:r>
        <w:rPr>
          <w:rFonts w:hint="eastAsia"/>
        </w:rPr>
        <w:t>—光学元件和/或焊头的温度；</w:t>
      </w:r>
    </w:p>
    <w:p w14:paraId="7B42F423" w14:textId="77777777" w:rsidR="002247E5" w:rsidRDefault="002247E5" w:rsidP="00CE3A76">
      <w:pPr>
        <w:pStyle w:val="afff2"/>
        <w:spacing w:line="360" w:lineRule="auto"/>
        <w:ind w:left="0"/>
      </w:pPr>
      <w:r>
        <w:rPr>
          <w:rFonts w:hint="eastAsia"/>
        </w:rPr>
        <w:t>—焦距；</w:t>
      </w:r>
    </w:p>
    <w:p w14:paraId="529CDFC5" w14:textId="77777777" w:rsidR="002247E5" w:rsidRDefault="002247E5" w:rsidP="00CE3A76">
      <w:pPr>
        <w:pStyle w:val="afff2"/>
        <w:spacing w:line="360" w:lineRule="auto"/>
        <w:ind w:left="0"/>
      </w:pPr>
      <w:r>
        <w:rPr>
          <w:rFonts w:hint="eastAsia"/>
        </w:rPr>
        <w:t>—焦点位置；</w:t>
      </w:r>
    </w:p>
    <w:p w14:paraId="6741688C" w14:textId="77777777" w:rsidR="002247E5" w:rsidRDefault="002247E5" w:rsidP="00CE3A76">
      <w:pPr>
        <w:pStyle w:val="afff2"/>
        <w:spacing w:line="360" w:lineRule="auto"/>
        <w:ind w:left="0"/>
      </w:pPr>
      <w:r>
        <w:rPr>
          <w:rFonts w:hint="eastAsia"/>
        </w:rPr>
        <w:t>—其他测量和检查。；</w:t>
      </w:r>
    </w:p>
    <w:p w14:paraId="5354B6D9" w14:textId="77777777" w:rsidR="002247E5" w:rsidRPr="00CE3A76" w:rsidRDefault="002247E5" w:rsidP="00CE3A76">
      <w:pPr>
        <w:pStyle w:val="a"/>
        <w:numPr>
          <w:ilvl w:val="0"/>
          <w:numId w:val="0"/>
        </w:numPr>
        <w:spacing w:before="312" w:after="312"/>
        <w:outlineLvl w:val="0"/>
      </w:pPr>
      <w:bookmarkStart w:id="115" w:name="_Toc111304486"/>
      <w:r w:rsidRPr="00CE3A76">
        <w:rPr>
          <w:rFonts w:hint="eastAsia"/>
        </w:rPr>
        <w:lastRenderedPageBreak/>
        <w:t>8.4 焊接参数控制</w:t>
      </w:r>
      <w:bookmarkEnd w:id="115"/>
    </w:p>
    <w:p w14:paraId="73F78390" w14:textId="77777777" w:rsidR="002247E5" w:rsidRDefault="002247E5" w:rsidP="00CE3A76">
      <w:pPr>
        <w:pStyle w:val="afff2"/>
        <w:spacing w:line="360" w:lineRule="auto"/>
        <w:ind w:left="0"/>
      </w:pPr>
      <w:r>
        <w:rPr>
          <w:rFonts w:hint="eastAsia"/>
        </w:rPr>
        <w:t>所有焊接参数都应存储在数据库中，并自动传输到机器控制系统。预设参数取决于焊接配置（厚度，接缝准备，间隙等），应在 WPS 中进行说明。该概念将确保正确的预设焊接参数用于单个接头的配置和材料。潜在的焊接缺陷也可以通过这种方式追溯到所使用的参数。</w:t>
      </w:r>
    </w:p>
    <w:p w14:paraId="797F1841" w14:textId="77777777" w:rsidR="002247E5" w:rsidRDefault="002247E5" w:rsidP="00CE3A76">
      <w:pPr>
        <w:pStyle w:val="afff2"/>
        <w:spacing w:line="360" w:lineRule="auto"/>
        <w:ind w:left="0"/>
      </w:pPr>
      <w:r>
        <w:rPr>
          <w:rFonts w:hint="eastAsia"/>
        </w:rPr>
        <w:t>如果一个或多个参数接近预设极限，则会向操作员显示警告。然后，他可以调整或维修机器的相关部件。如果焊接参数达到或超过限制，则焊接过程将由控制单元自动停止。</w:t>
      </w:r>
    </w:p>
    <w:p w14:paraId="1BD27A04" w14:textId="77777777" w:rsidR="002247E5" w:rsidRDefault="002247E5" w:rsidP="002247E5">
      <w:pPr>
        <w:pStyle w:val="afffffff4"/>
        <w:tabs>
          <w:tab w:val="left" w:pos="377"/>
        </w:tabs>
        <w:spacing w:before="43"/>
        <w:ind w:left="112" w:firstLine="1260"/>
        <w:rPr>
          <w:rFonts w:ascii="宋体" w:eastAsia="宋体"/>
          <w:sz w:val="21"/>
          <w:lang w:eastAsia="zh-CN"/>
        </w:rPr>
      </w:pPr>
    </w:p>
    <w:p w14:paraId="749F9D6D" w14:textId="77777777" w:rsidR="002247E5" w:rsidRPr="00CE3A76" w:rsidRDefault="002247E5" w:rsidP="00CE3A76">
      <w:pPr>
        <w:pStyle w:val="a"/>
        <w:numPr>
          <w:ilvl w:val="0"/>
          <w:numId w:val="19"/>
        </w:numPr>
        <w:spacing w:before="312" w:after="312"/>
        <w:outlineLvl w:val="0"/>
      </w:pPr>
      <w:bookmarkStart w:id="116" w:name="_Toc111304487"/>
      <w:r w:rsidRPr="00CE3A76">
        <w:rPr>
          <w:rFonts w:hint="eastAsia"/>
        </w:rPr>
        <w:t>生产质量控制</w:t>
      </w:r>
      <w:bookmarkEnd w:id="116"/>
    </w:p>
    <w:p w14:paraId="2A6764B9" w14:textId="77777777" w:rsidR="002247E5" w:rsidRPr="00CE3A76" w:rsidRDefault="002247E5" w:rsidP="00CE3A76">
      <w:pPr>
        <w:pStyle w:val="a"/>
        <w:numPr>
          <w:ilvl w:val="0"/>
          <w:numId w:val="0"/>
        </w:numPr>
        <w:spacing w:before="312" w:after="312"/>
        <w:outlineLvl w:val="0"/>
      </w:pPr>
      <w:bookmarkStart w:id="117" w:name="_Toc111304488"/>
      <w:r w:rsidRPr="00CE3A76">
        <w:rPr>
          <w:rFonts w:hint="eastAsia"/>
        </w:rPr>
        <w:t>9.1 无损检测（NDT）</w:t>
      </w:r>
      <w:bookmarkEnd w:id="117"/>
    </w:p>
    <w:p w14:paraId="5B8FC614" w14:textId="77777777" w:rsidR="002247E5" w:rsidRDefault="002247E5" w:rsidP="00CE3A76">
      <w:pPr>
        <w:pStyle w:val="afff2"/>
        <w:spacing w:line="360" w:lineRule="auto"/>
        <w:ind w:left="0"/>
      </w:pPr>
      <w:r>
        <w:rPr>
          <w:rFonts w:hint="eastAsia"/>
        </w:rPr>
        <w:t>无损检测应按照建造方制定的无损检测工艺进行。</w:t>
      </w:r>
    </w:p>
    <w:p w14:paraId="35AEC1F0" w14:textId="77777777" w:rsidR="002247E5" w:rsidRDefault="002247E5" w:rsidP="00CE3A76">
      <w:pPr>
        <w:pStyle w:val="afff2"/>
        <w:spacing w:line="360" w:lineRule="auto"/>
        <w:ind w:left="0"/>
      </w:pPr>
      <w:r>
        <w:rPr>
          <w:rFonts w:hint="eastAsia"/>
        </w:rPr>
        <w:t>除非另有规定，目视检测、射线检测、超声波检测和磁粉检测的接收标准为 ISO 12932 C 级。</w:t>
      </w:r>
    </w:p>
    <w:p w14:paraId="0C52D168" w14:textId="77777777" w:rsidR="002247E5" w:rsidRPr="00CE3A76" w:rsidRDefault="002247E5" w:rsidP="00CE3A76">
      <w:pPr>
        <w:pStyle w:val="a"/>
        <w:numPr>
          <w:ilvl w:val="0"/>
          <w:numId w:val="0"/>
        </w:numPr>
        <w:spacing w:before="312" w:after="312"/>
        <w:outlineLvl w:val="0"/>
      </w:pPr>
      <w:bookmarkStart w:id="118" w:name="_Toc111304489"/>
      <w:r w:rsidRPr="00CE3A76">
        <w:rPr>
          <w:rFonts w:hint="eastAsia"/>
        </w:rPr>
        <w:t>9.2 返修</w:t>
      </w:r>
      <w:bookmarkEnd w:id="118"/>
    </w:p>
    <w:p w14:paraId="6038459E" w14:textId="77777777" w:rsidR="002247E5" w:rsidRDefault="002247E5" w:rsidP="00CE3A76">
      <w:pPr>
        <w:pStyle w:val="afff2"/>
        <w:spacing w:line="360" w:lineRule="auto"/>
        <w:ind w:left="0"/>
      </w:pPr>
      <w:r>
        <w:rPr>
          <w:rFonts w:hint="eastAsia"/>
        </w:rPr>
        <w:t>有缺陷的焊缝，即不满足标准等级要求的焊缝，可以根据等级要求通过常规焊接方法进行修复。为了保证质量，应采取以下措施：</w:t>
      </w:r>
    </w:p>
    <w:p w14:paraId="69D39922" w14:textId="77777777" w:rsidR="002247E5" w:rsidRDefault="002247E5" w:rsidP="00CE3A76">
      <w:pPr>
        <w:pStyle w:val="afff2"/>
        <w:spacing w:line="360" w:lineRule="auto"/>
        <w:ind w:left="0"/>
      </w:pPr>
      <w:r>
        <w:rPr>
          <w:rFonts w:hint="eastAsia"/>
        </w:rPr>
        <w:t>—使用本文所述检测方法检查焊缝质量；</w:t>
      </w:r>
    </w:p>
    <w:p w14:paraId="75A6AC47" w14:textId="77777777" w:rsidR="002247E5" w:rsidRDefault="002247E5" w:rsidP="00CE3A76">
      <w:pPr>
        <w:pStyle w:val="afff2"/>
        <w:spacing w:line="360" w:lineRule="auto"/>
        <w:ind w:left="0"/>
      </w:pPr>
      <w:r>
        <w:rPr>
          <w:rFonts w:hint="eastAsia"/>
        </w:rPr>
        <w:t>—焊缝缺陷部位的标记；</w:t>
      </w:r>
    </w:p>
    <w:p w14:paraId="162C1476" w14:textId="77777777" w:rsidR="002247E5" w:rsidRDefault="002247E5" w:rsidP="00CE3A76">
      <w:pPr>
        <w:pStyle w:val="afff2"/>
        <w:spacing w:line="360" w:lineRule="auto"/>
        <w:ind w:left="0"/>
      </w:pPr>
      <w:r>
        <w:rPr>
          <w:rFonts w:hint="eastAsia"/>
        </w:rPr>
        <w:t>—缺陷的去除和打磨；</w:t>
      </w:r>
    </w:p>
    <w:p w14:paraId="34199F4D" w14:textId="77777777" w:rsidR="002247E5" w:rsidRDefault="002247E5" w:rsidP="00CE3A76">
      <w:pPr>
        <w:pStyle w:val="afff2"/>
        <w:spacing w:line="360" w:lineRule="auto"/>
        <w:ind w:left="0"/>
      </w:pPr>
      <w:r>
        <w:rPr>
          <w:rFonts w:hint="eastAsia"/>
        </w:rPr>
        <w:t>—常规焊缝修补；</w:t>
      </w:r>
    </w:p>
    <w:p w14:paraId="56011BCC" w14:textId="77777777" w:rsidR="002247E5" w:rsidRDefault="002247E5" w:rsidP="00CE3A76">
      <w:pPr>
        <w:pStyle w:val="afff2"/>
        <w:spacing w:line="360" w:lineRule="auto"/>
        <w:ind w:left="0"/>
      </w:pPr>
      <w:r>
        <w:rPr>
          <w:rFonts w:hint="eastAsia"/>
        </w:rPr>
        <w:t>—缺陷修补部位进行无损检测。</w:t>
      </w:r>
    </w:p>
    <w:p w14:paraId="03943E40" w14:textId="77777777" w:rsidR="002247E5" w:rsidRDefault="002247E5" w:rsidP="002247E5">
      <w:pPr>
        <w:pStyle w:val="afffffff2"/>
        <w:spacing w:before="37" w:line="268" w:lineRule="auto"/>
        <w:ind w:left="112" w:firstLine="1050"/>
        <w:rPr>
          <w:rFonts w:ascii="宋体" w:eastAsia="宋体"/>
          <w:lang w:eastAsia="zh-CN"/>
        </w:rPr>
      </w:pPr>
    </w:p>
    <w:p w14:paraId="6924C842" w14:textId="77777777" w:rsidR="002247E5" w:rsidRPr="00CE3A76" w:rsidRDefault="002247E5" w:rsidP="00CE3A76">
      <w:pPr>
        <w:pStyle w:val="a"/>
        <w:numPr>
          <w:ilvl w:val="0"/>
          <w:numId w:val="19"/>
        </w:numPr>
        <w:spacing w:before="312" w:after="312"/>
        <w:outlineLvl w:val="0"/>
      </w:pPr>
      <w:bookmarkStart w:id="119" w:name="_Toc111304490"/>
      <w:r w:rsidRPr="00CE3A76">
        <w:rPr>
          <w:rFonts w:hint="eastAsia"/>
        </w:rPr>
        <w:t>防止激光辐射的危害</w:t>
      </w:r>
      <w:bookmarkEnd w:id="119"/>
    </w:p>
    <w:p w14:paraId="43236FDB" w14:textId="77777777" w:rsidR="002247E5" w:rsidRPr="00CE3A76" w:rsidRDefault="002247E5" w:rsidP="00CE3A76">
      <w:pPr>
        <w:pStyle w:val="a"/>
        <w:numPr>
          <w:ilvl w:val="0"/>
          <w:numId w:val="0"/>
        </w:numPr>
        <w:spacing w:before="312" w:after="312"/>
        <w:outlineLvl w:val="0"/>
      </w:pPr>
      <w:bookmarkStart w:id="120" w:name="_Toc111304491"/>
      <w:r w:rsidRPr="00CE3A76">
        <w:rPr>
          <w:rFonts w:hint="eastAsia"/>
        </w:rPr>
        <w:t>10.1 一般要求</w:t>
      </w:r>
      <w:bookmarkEnd w:id="120"/>
    </w:p>
    <w:p w14:paraId="41870345" w14:textId="77777777" w:rsidR="002247E5" w:rsidRDefault="002247E5" w:rsidP="00CE3A76">
      <w:pPr>
        <w:pStyle w:val="afff2"/>
        <w:spacing w:line="360" w:lineRule="auto"/>
        <w:ind w:left="0"/>
      </w:pPr>
      <w:r>
        <w:rPr>
          <w:rFonts w:hint="eastAsia"/>
        </w:rPr>
        <w:t>通常，在任何情况下，人都不得暴露于超过最大允许暴露量（MPE）限制的激光辐射下。 EN 60825-1 标准（5）规定了MPE 值，该值代表眼睛或皮肤无伤害可暴露的最大激光辐射水平。 如果有潜在的人眼暴露在 MPE 等级以上的危险，则应使用护目镜。 在国际公认的标准（例如 EN 207（6）和 EN208（7） 中给出了用于生产和激光维修加工目的安全护目镜的测试，标记和推荐选择作出了规定。</w:t>
      </w:r>
    </w:p>
    <w:p w14:paraId="73953851" w14:textId="77777777" w:rsidR="002247E5" w:rsidRDefault="002247E5" w:rsidP="00CE3A76">
      <w:pPr>
        <w:pStyle w:val="afff2"/>
        <w:spacing w:line="360" w:lineRule="auto"/>
        <w:ind w:left="0"/>
      </w:pPr>
      <w:r>
        <w:rPr>
          <w:rFonts w:hint="eastAsia"/>
        </w:rPr>
        <w:t>通常，Nd：YAG 激光器对人眼的潜在伤害比二氧化碳激光器更大。</w:t>
      </w:r>
    </w:p>
    <w:p w14:paraId="3E9E7BDA" w14:textId="77777777" w:rsidR="002247E5" w:rsidRDefault="002247E5" w:rsidP="00CE3A76">
      <w:pPr>
        <w:pStyle w:val="afff2"/>
        <w:spacing w:line="360" w:lineRule="auto"/>
        <w:ind w:left="0"/>
      </w:pPr>
      <w:r>
        <w:rPr>
          <w:rFonts w:hint="eastAsia"/>
        </w:rPr>
        <w:lastRenderedPageBreak/>
        <w:t>作为一个简单规则，可以使用以下方法：所有可以看到激光焊接或相关光源的位置的人员，应始终佩戴适合该特定激光的护目镜。</w:t>
      </w:r>
    </w:p>
    <w:p w14:paraId="610240EC" w14:textId="77777777" w:rsidR="002247E5" w:rsidRDefault="002247E5">
      <w:pPr>
        <w:widowControl/>
        <w:ind w:left="0"/>
        <w:jc w:val="left"/>
        <w:rPr>
          <w:rFonts w:ascii="宋体"/>
          <w:kern w:val="0"/>
          <w:szCs w:val="20"/>
        </w:rPr>
      </w:pPr>
      <w:r>
        <w:br w:type="page"/>
      </w:r>
    </w:p>
    <w:p w14:paraId="2E8178B3" w14:textId="77777777" w:rsidR="00171F3F" w:rsidRDefault="00CE3A76">
      <w:pPr>
        <w:pStyle w:val="affffff2"/>
        <w:spacing w:before="851" w:after="284" w:line="360" w:lineRule="auto"/>
        <w:rPr>
          <w:rFonts w:ascii="Times New Roman"/>
        </w:rPr>
      </w:pPr>
      <w:bookmarkStart w:id="121" w:name="_Toc13472"/>
      <w:bookmarkStart w:id="122" w:name="_Toc17001"/>
      <w:bookmarkStart w:id="123" w:name="_Toc19955"/>
      <w:bookmarkStart w:id="124" w:name="_Toc111304492"/>
      <w:r>
        <w:rPr>
          <w:rFonts w:ascii="Times New Roman"/>
        </w:rPr>
        <w:lastRenderedPageBreak/>
        <w:t>参</w:t>
      </w:r>
      <w:r>
        <w:rPr>
          <w:rFonts w:ascii="Times New Roman" w:eastAsia="MS Mincho"/>
        </w:rPr>
        <w:t> </w:t>
      </w:r>
      <w:r>
        <w:rPr>
          <w:rFonts w:ascii="Times New Roman"/>
        </w:rPr>
        <w:t>考</w:t>
      </w:r>
      <w:r>
        <w:rPr>
          <w:rFonts w:ascii="Times New Roman" w:eastAsia="MS Mincho"/>
        </w:rPr>
        <w:t> </w:t>
      </w:r>
      <w:r>
        <w:rPr>
          <w:rFonts w:ascii="Times New Roman"/>
        </w:rPr>
        <w:t>文</w:t>
      </w:r>
      <w:r>
        <w:rPr>
          <w:rFonts w:ascii="Times New Roman" w:eastAsia="MS Mincho"/>
        </w:rPr>
        <w:t> </w:t>
      </w:r>
      <w:r>
        <w:rPr>
          <w:rFonts w:ascii="Times New Roman"/>
        </w:rPr>
        <w:t>献</w:t>
      </w:r>
      <w:bookmarkEnd w:id="70"/>
      <w:bookmarkEnd w:id="71"/>
      <w:bookmarkEnd w:id="72"/>
      <w:bookmarkEnd w:id="73"/>
      <w:bookmarkEnd w:id="74"/>
      <w:bookmarkEnd w:id="75"/>
      <w:bookmarkEnd w:id="76"/>
      <w:bookmarkEnd w:id="77"/>
      <w:bookmarkEnd w:id="78"/>
      <w:bookmarkEnd w:id="121"/>
      <w:bookmarkEnd w:id="122"/>
      <w:bookmarkEnd w:id="123"/>
      <w:bookmarkEnd w:id="124"/>
    </w:p>
    <w:p w14:paraId="38003223" w14:textId="109AEBB5" w:rsidR="00171F3F" w:rsidRDefault="00CE3A76" w:rsidP="00A36BEF">
      <w:pPr>
        <w:pStyle w:val="afff2"/>
        <w:numPr>
          <w:ilvl w:val="0"/>
          <w:numId w:val="20"/>
        </w:numPr>
        <w:spacing w:line="360" w:lineRule="auto"/>
        <w:ind w:firstLineChars="0"/>
        <w:jc w:val="left"/>
        <w:rPr>
          <w:rFonts w:hAnsi="宋体"/>
        </w:rPr>
      </w:pPr>
      <w:r>
        <w:rPr>
          <w:rFonts w:hAnsi="宋体" w:hint="eastAsia"/>
        </w:rPr>
        <w:t xml:space="preserve"> </w:t>
      </w:r>
      <w:r w:rsidR="00BE2D2B" w:rsidRPr="00BE2D2B">
        <w:rPr>
          <w:rFonts w:hAnsi="宋体" w:hint="eastAsia"/>
        </w:rPr>
        <w:t>DNVGL-CG-0287:2015 激光电弧复合焊接</w:t>
      </w:r>
    </w:p>
    <w:p w14:paraId="7A902AA6" w14:textId="053E105E" w:rsidR="00171F3F" w:rsidRDefault="00CE3A76" w:rsidP="00A36BEF">
      <w:pPr>
        <w:pStyle w:val="afff2"/>
        <w:numPr>
          <w:ilvl w:val="0"/>
          <w:numId w:val="20"/>
        </w:numPr>
        <w:spacing w:line="360" w:lineRule="auto"/>
        <w:ind w:firstLineChars="0"/>
        <w:jc w:val="left"/>
        <w:rPr>
          <w:rFonts w:hAnsi="宋体"/>
        </w:rPr>
      </w:pPr>
      <w:r>
        <w:rPr>
          <w:rFonts w:hAnsi="宋体" w:hint="eastAsia"/>
        </w:rPr>
        <w:t xml:space="preserve"> </w:t>
      </w:r>
      <w:r w:rsidR="00BE2D2B" w:rsidRPr="00BE2D2B">
        <w:rPr>
          <w:rFonts w:hAnsi="宋体" w:hint="eastAsia"/>
        </w:rPr>
        <w:t>ISO 15609-6 金属材料焊接工艺规范和评定-焊接工艺规程 第 6 部分 激光电弧复合焊接</w:t>
      </w:r>
    </w:p>
    <w:p w14:paraId="07C11C84" w14:textId="767236B9" w:rsidR="00171F3F" w:rsidRDefault="00CE3A76" w:rsidP="00A36BEF">
      <w:pPr>
        <w:pStyle w:val="afff2"/>
        <w:numPr>
          <w:ilvl w:val="0"/>
          <w:numId w:val="20"/>
        </w:numPr>
        <w:spacing w:line="360" w:lineRule="auto"/>
        <w:ind w:firstLineChars="0"/>
        <w:jc w:val="left"/>
        <w:rPr>
          <w:rFonts w:hAnsi="宋体"/>
        </w:rPr>
      </w:pPr>
      <w:r>
        <w:rPr>
          <w:rFonts w:hAnsi="宋体"/>
        </w:rPr>
        <w:t xml:space="preserve"> </w:t>
      </w:r>
      <w:r>
        <w:rPr>
          <w:rFonts w:hAnsi="宋体" w:hint="eastAsia"/>
        </w:rPr>
        <w:t xml:space="preserve"> </w:t>
      </w:r>
      <w:r w:rsidR="00BE2D2B" w:rsidRPr="00BE2D2B">
        <w:rPr>
          <w:rFonts w:hAnsi="宋体" w:hint="eastAsia"/>
        </w:rPr>
        <w:t>ISO 15614-14 金属材料焊接工艺规范和评定-焊接工艺评定试验 第 14 部分钢、镍及镍合金的激光电弧复合焊接</w:t>
      </w:r>
    </w:p>
    <w:p w14:paraId="166FB152" w14:textId="0A7BF465" w:rsidR="00171F3F" w:rsidRDefault="00BE2D2B" w:rsidP="00A36BEF">
      <w:pPr>
        <w:pStyle w:val="afff2"/>
        <w:numPr>
          <w:ilvl w:val="0"/>
          <w:numId w:val="20"/>
        </w:numPr>
        <w:spacing w:line="360" w:lineRule="auto"/>
        <w:ind w:firstLineChars="0"/>
        <w:jc w:val="left"/>
        <w:rPr>
          <w:rFonts w:hAnsi="宋体"/>
        </w:rPr>
      </w:pPr>
      <w:r w:rsidRPr="00BE2D2B">
        <w:rPr>
          <w:rFonts w:hAnsi="宋体" w:hint="eastAsia"/>
        </w:rPr>
        <w:t>CCS 材料与焊接规范</w:t>
      </w:r>
    </w:p>
    <w:p w14:paraId="70E2ADD4" w14:textId="154C5F64" w:rsidR="00BE2D2B" w:rsidRDefault="00BE2D2B" w:rsidP="00BE2D2B">
      <w:pPr>
        <w:pStyle w:val="afff2"/>
        <w:spacing w:line="360" w:lineRule="auto"/>
        <w:ind w:firstLineChars="0"/>
        <w:jc w:val="left"/>
        <w:rPr>
          <w:rFonts w:hAnsi="宋体"/>
        </w:rPr>
      </w:pPr>
    </w:p>
    <w:p w14:paraId="1D2B420C" w14:textId="4B661623" w:rsidR="00BE2D2B" w:rsidRPr="00BE2D2B" w:rsidRDefault="00BE2D2B" w:rsidP="00BE2D2B">
      <w:pPr>
        <w:pStyle w:val="afff2"/>
        <w:spacing w:line="360" w:lineRule="auto"/>
        <w:jc w:val="left"/>
        <w:rPr>
          <w:rFonts w:hAnsi="宋体"/>
        </w:rPr>
      </w:pPr>
    </w:p>
    <w:bookmarkEnd w:id="79"/>
    <w:p w14:paraId="5C2CCB83" w14:textId="77777777" w:rsidR="00171F3F" w:rsidRDefault="00171F3F">
      <w:pPr>
        <w:pStyle w:val="afff2"/>
        <w:spacing w:line="360" w:lineRule="auto"/>
        <w:ind w:left="0" w:firstLineChars="0" w:firstLine="0"/>
        <w:jc w:val="left"/>
        <w:rPr>
          <w:rFonts w:hAnsi="宋体"/>
        </w:rPr>
      </w:pPr>
    </w:p>
    <w:p w14:paraId="3D884E36" w14:textId="77777777" w:rsidR="00171F3F" w:rsidRDefault="00CE3A76">
      <w:pPr>
        <w:pStyle w:val="afffff9"/>
        <w:framePr w:wrap="around"/>
      </w:pPr>
      <w:r>
        <w:t>_________________________________</w:t>
      </w:r>
    </w:p>
    <w:sectPr w:rsidR="00171F3F">
      <w:headerReference w:type="even" r:id="rId14"/>
      <w:headerReference w:type="default" r:id="rId15"/>
      <w:footerReference w:type="even" r:id="rId16"/>
      <w:footerReference w:type="default" r:id="rId17"/>
      <w:pgSz w:w="11906" w:h="16838"/>
      <w:pgMar w:top="567" w:right="1134" w:bottom="1134" w:left="1418" w:header="1418" w:footer="1134" w:gutter="0"/>
      <w:pgNumType w:start="1"/>
      <w:cols w:space="720"/>
      <w:formProt w:val="0"/>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1F807" w14:textId="77777777" w:rsidR="00424F0D" w:rsidRDefault="00424F0D">
      <w:r>
        <w:separator/>
      </w:r>
    </w:p>
  </w:endnote>
  <w:endnote w:type="continuationSeparator" w:id="0">
    <w:p w14:paraId="7CD883BD" w14:textId="77777777" w:rsidR="00424F0D" w:rsidRDefault="00424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6"/>
    <w:family w:val="swiss"/>
    <w:pitch w:val="variable"/>
    <w:sig w:usb0="00000000"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C3E7B" w14:textId="2FA250A4" w:rsidR="00CE3A76" w:rsidRDefault="00CE3A76">
    <w:pPr>
      <w:pStyle w:val="affe"/>
      <w:jc w:val="left"/>
      <w:rPr>
        <w:rFonts w:ascii="等线" w:eastAsia="等线" w:hAnsi="等线"/>
      </w:rPr>
    </w:pPr>
    <w:r>
      <w:rPr>
        <w:rFonts w:ascii="等线" w:eastAsia="等线" w:hAnsi="等线"/>
      </w:rPr>
      <w:fldChar w:fldCharType="begin"/>
    </w:r>
    <w:r>
      <w:rPr>
        <w:rFonts w:ascii="等线" w:eastAsia="等线" w:hAnsi="等线"/>
      </w:rPr>
      <w:instrText xml:space="preserve"> PAGE   \* MERGEFORMAT </w:instrText>
    </w:r>
    <w:r>
      <w:rPr>
        <w:rFonts w:ascii="等线" w:eastAsia="等线" w:hAnsi="等线"/>
      </w:rPr>
      <w:fldChar w:fldCharType="separate"/>
    </w:r>
    <w:r w:rsidR="00314772" w:rsidRPr="00314772">
      <w:rPr>
        <w:rFonts w:ascii="等线" w:eastAsia="等线" w:hAnsi="等线"/>
        <w:noProof/>
        <w:lang w:val="zh-CN"/>
      </w:rPr>
      <w:t>II</w:t>
    </w:r>
    <w:r>
      <w:rPr>
        <w:rFonts w:ascii="等线" w:eastAsia="等线" w:hAnsi="等线"/>
      </w:rPr>
      <w:fldChar w:fldCharType="end"/>
    </w:r>
  </w:p>
  <w:p w14:paraId="2AD5E899" w14:textId="77777777" w:rsidR="00CE3A76" w:rsidRDefault="00CE3A76">
    <w:pPr>
      <w:pStyle w:val="aff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6CC43" w14:textId="13FB1EC6" w:rsidR="00CE3A76" w:rsidRDefault="00CE3A76">
    <w:pPr>
      <w:pStyle w:val="affffff1"/>
    </w:pPr>
    <w:r>
      <w:fldChar w:fldCharType="begin"/>
    </w:r>
    <w:r>
      <w:instrText xml:space="preserve"> PAGE  \* MERGEFORMAT </w:instrText>
    </w:r>
    <w:r>
      <w:fldChar w:fldCharType="separate"/>
    </w:r>
    <w:r w:rsidR="00314772">
      <w:rPr>
        <w:noProof/>
      </w:rPr>
      <w:t>I</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75BD9" w14:textId="77777777" w:rsidR="00CE3A76" w:rsidRDefault="00CE3A76">
    <w:pPr>
      <w:spacing w:line="1" w:lineRule="exact"/>
    </w:pPr>
    <w:r>
      <w:rPr>
        <w:noProof/>
      </w:rPr>
      <mc:AlternateContent>
        <mc:Choice Requires="wps">
          <w:drawing>
            <wp:anchor distT="0" distB="0" distL="114300" distR="114300" simplePos="0" relativeHeight="251662336" behindDoc="1" locked="0" layoutInCell="1" allowOverlap="1" wp14:anchorId="1896B372" wp14:editId="686EEAF0">
              <wp:simplePos x="0" y="0"/>
              <wp:positionH relativeFrom="page">
                <wp:posOffset>1677035</wp:posOffset>
              </wp:positionH>
              <wp:positionV relativeFrom="page">
                <wp:posOffset>18967450</wp:posOffset>
              </wp:positionV>
              <wp:extent cx="114935" cy="262890"/>
              <wp:effectExtent l="0" t="0" r="0" b="0"/>
              <wp:wrapNone/>
              <wp:docPr id="62" name="Shape 62"/>
              <wp:cNvGraphicFramePr/>
              <a:graphic xmlns:a="http://schemas.openxmlformats.org/drawingml/2006/main">
                <a:graphicData uri="http://schemas.microsoft.com/office/word/2010/wordprocessingShape">
                  <wps:wsp>
                    <wps:cNvSpPr txBox="1"/>
                    <wps:spPr>
                      <a:xfrm>
                        <a:off x="0" y="0"/>
                        <a:ext cx="114935" cy="262890"/>
                      </a:xfrm>
                      <a:prstGeom prst="rect">
                        <a:avLst/>
                      </a:prstGeom>
                      <a:noFill/>
                      <a:ln>
                        <a:noFill/>
                      </a:ln>
                      <a:effectLst/>
                    </wps:spPr>
                    <wps:txbx>
                      <w:txbxContent>
                        <w:p w14:paraId="3CC899FD" w14:textId="5BC43397" w:rsidR="00CE3A76" w:rsidRDefault="00CE3A76">
                          <w:pPr>
                            <w:pStyle w:val="Headerorfooter1"/>
                            <w:ind w:left="0"/>
                            <w:jc w:val="left"/>
                            <w:rPr>
                              <w:sz w:val="36"/>
                              <w:szCs w:val="36"/>
                            </w:rPr>
                          </w:pPr>
                          <w:r>
                            <w:fldChar w:fldCharType="begin"/>
                          </w:r>
                          <w:r>
                            <w:instrText xml:space="preserve"> PAGE \* MERGEFORMAT </w:instrText>
                          </w:r>
                          <w:r>
                            <w:fldChar w:fldCharType="separate"/>
                          </w:r>
                          <w:r w:rsidR="00314772" w:rsidRPr="00314772">
                            <w:rPr>
                              <w:rFonts w:ascii="Times New Roman" w:eastAsia="Times New Roman" w:hAnsi="Times New Roman" w:cs="Times New Roman"/>
                              <w:b/>
                              <w:bCs/>
                              <w:noProof/>
                              <w:color w:val="000000"/>
                              <w:sz w:val="36"/>
                              <w:szCs w:val="36"/>
                              <w:lang w:val="zh-TW" w:eastAsia="zh-TW" w:bidi="zh-TW"/>
                            </w:rPr>
                            <w:t>14</w:t>
                          </w:r>
                          <w:r>
                            <w:rPr>
                              <w:rFonts w:ascii="Times New Roman" w:eastAsia="Times New Roman" w:hAnsi="Times New Roman" w:cs="Times New Roman"/>
                              <w:b/>
                              <w:bCs/>
                              <w:color w:val="000000"/>
                              <w:sz w:val="36"/>
                              <w:szCs w:val="36"/>
                              <w:lang w:val="zh-TW" w:eastAsia="zh-TW" w:bidi="zh-TW"/>
                            </w:rPr>
                            <w:fldChar w:fldCharType="end"/>
                          </w:r>
                        </w:p>
                      </w:txbxContent>
                    </wps:txbx>
                    <wps:bodyPr vert="horz" wrap="none" lIns="0" tIns="0" rIns="0" bIns="0" anchor="t">
                      <a:spAutoFit/>
                    </wps:bodyPr>
                  </wps:wsp>
                </a:graphicData>
              </a:graphic>
            </wp:anchor>
          </w:drawing>
        </mc:Choice>
        <mc:Fallback>
          <w:pict>
            <v:shapetype w14:anchorId="1896B372" id="_x0000_t202" coordsize="21600,21600" o:spt="202" path="m,l,21600r21600,l21600,xe">
              <v:stroke joinstyle="miter"/>
              <v:path gradientshapeok="t" o:connecttype="rect"/>
            </v:shapetype>
            <v:shape id="Shape 62" o:spid="_x0000_s1031" type="#_x0000_t202" style="position:absolute;left:0;text-align:left;margin-left:132.05pt;margin-top:1493.5pt;width:9.05pt;height:20.7pt;z-index:-251654144;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Z65tQEAAGcDAAAOAAAAZHJzL2Uyb0RvYy54bWysU9uO0zAQfUfiHyy/07QBqt2o7gq0WoSE&#10;AGnhA1zHbizZHmvsbVK+nrHTdLm8IV6cuc85M5Pd3eQdO2lMFoLgm9WaMx0U9DYcBf/+7eHVDWcp&#10;y9BLB0ELftaJ3+1fvtiNsdMtDOB6jYyKhNSNUfAh59g1TVKD9jKtIOpATgPoZSYVj02PcqTq3jXt&#10;er1tRsA+IiidElnvZyff1/rGaJW/GJN0Zk5wwpbri/U9lLfZ72R3RBkHqy4w5D+g8NIGanotdS+z&#10;ZE9o/yrlrUJIYPJKgW/AGKt05UBsNus/2DwOMurKhYaT4nVM6f+VVZ9PX5HZXvBty1mQnnZU2zLS&#10;aThjTB3FPEaKytN7mGjJiz2RsXCeDPryJTaM/DTm83W0espMlaTNm9vXbzlT5Gq37c1tHX3znBwx&#10;5Q8aPCuC4EibqwOVp08pExAKXUJKrwAP1rm6PRd+M1DgbNF1/ZfswmPGW6Q8HaZK+srxAP2ZKNIl&#10;U/MB8AdnI12F4IHOljP3MdDQywEtAi7CYRFkUJQo+Iw7xXdPmUBW7KXn3IGIFIW2WSldLq+cy696&#10;jXr+P/Y/AQAA//8DAFBLAwQUAAYACAAAACEA8fjU/eAAAAANAQAADwAAAGRycy9kb3ducmV2Lnht&#10;bEyPy07DMBBF90j8gzWV2FGnpmpNiFOhSmzYUSokdm48jaP6EcVumvw9wwp2M5qjO+dWu8k7NuKQ&#10;uhgUrJYFMAxNNF1oFRw/3x4lsJR1MNrFgApmTLCr7+8qXZp4Cx84HnLLKCSkUiuwOfcl56mx6HVa&#10;xh4D3c5x8DrTOrTcDPpG4d5xURQb7nUX6IPVPe4tNpfD1SvYTl8R+4R7/D6PzWC7Wbr3WamHxfT6&#10;AizjlP9g+NUndajJ6RSvwSTmFIjNekUoDc9yS60IEVIIYCcFT4WQa+B1xf+3qH8AAAD//wMAUEsB&#10;Ai0AFAAGAAgAAAAhALaDOJL+AAAA4QEAABMAAAAAAAAAAAAAAAAAAAAAAFtDb250ZW50X1R5cGVz&#10;XS54bWxQSwECLQAUAAYACAAAACEAOP0h/9YAAACUAQAACwAAAAAAAAAAAAAAAAAvAQAAX3JlbHMv&#10;LnJlbHNQSwECLQAUAAYACAAAACEAPameubUBAABnAwAADgAAAAAAAAAAAAAAAAAuAgAAZHJzL2Uy&#10;b0RvYy54bWxQSwECLQAUAAYACAAAACEA8fjU/eAAAAANAQAADwAAAAAAAAAAAAAAAAAPBAAAZHJz&#10;L2Rvd25yZXYueG1sUEsFBgAAAAAEAAQA8wAAABwFAAAAAA==&#10;" filled="f" stroked="f">
              <v:textbox style="mso-fit-shape-to-text:t" inset="0,0,0,0">
                <w:txbxContent>
                  <w:p w14:paraId="3CC899FD" w14:textId="5BC43397" w:rsidR="00CE3A76" w:rsidRDefault="00CE3A76">
                    <w:pPr>
                      <w:pStyle w:val="Headerorfooter1"/>
                      <w:ind w:left="0"/>
                      <w:jc w:val="left"/>
                      <w:rPr>
                        <w:sz w:val="36"/>
                        <w:szCs w:val="36"/>
                      </w:rPr>
                    </w:pPr>
                    <w:r>
                      <w:fldChar w:fldCharType="begin"/>
                    </w:r>
                    <w:r>
                      <w:instrText xml:space="preserve"> PAGE \* MERGEFORMAT </w:instrText>
                    </w:r>
                    <w:r>
                      <w:fldChar w:fldCharType="separate"/>
                    </w:r>
                    <w:r w:rsidR="00314772" w:rsidRPr="00314772">
                      <w:rPr>
                        <w:rFonts w:ascii="Times New Roman" w:eastAsia="Times New Roman" w:hAnsi="Times New Roman" w:cs="Times New Roman"/>
                        <w:b/>
                        <w:bCs/>
                        <w:noProof/>
                        <w:color w:val="000000"/>
                        <w:sz w:val="36"/>
                        <w:szCs w:val="36"/>
                        <w:lang w:val="zh-TW" w:eastAsia="zh-TW" w:bidi="zh-TW"/>
                      </w:rPr>
                      <w:t>14</w:t>
                    </w:r>
                    <w:r>
                      <w:rPr>
                        <w:rFonts w:ascii="Times New Roman" w:eastAsia="Times New Roman" w:hAnsi="Times New Roman" w:cs="Times New Roman"/>
                        <w:b/>
                        <w:bCs/>
                        <w:color w:val="000000"/>
                        <w:sz w:val="36"/>
                        <w:szCs w:val="36"/>
                        <w:lang w:val="zh-TW" w:eastAsia="zh-TW" w:bidi="zh-TW"/>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4681A" w14:textId="77777777" w:rsidR="00CE3A76" w:rsidRDefault="00CE3A76">
    <w:pPr>
      <w:spacing w:line="1" w:lineRule="exact"/>
    </w:pPr>
    <w:r>
      <w:rPr>
        <w:noProof/>
      </w:rPr>
      <mc:AlternateContent>
        <mc:Choice Requires="wps">
          <w:drawing>
            <wp:anchor distT="0" distB="0" distL="114300" distR="114300" simplePos="0" relativeHeight="251663360" behindDoc="1" locked="0" layoutInCell="1" allowOverlap="1" wp14:anchorId="0237E0D1" wp14:editId="34B86D6B">
              <wp:simplePos x="0" y="0"/>
              <wp:positionH relativeFrom="page">
                <wp:posOffset>12618085</wp:posOffset>
              </wp:positionH>
              <wp:positionV relativeFrom="page">
                <wp:posOffset>18929350</wp:posOffset>
              </wp:positionV>
              <wp:extent cx="114935" cy="262890"/>
              <wp:effectExtent l="0" t="0" r="0" b="0"/>
              <wp:wrapNone/>
              <wp:docPr id="58" name="Shape 58"/>
              <wp:cNvGraphicFramePr/>
              <a:graphic xmlns:a="http://schemas.openxmlformats.org/drawingml/2006/main">
                <a:graphicData uri="http://schemas.microsoft.com/office/word/2010/wordprocessingShape">
                  <wps:wsp>
                    <wps:cNvSpPr txBox="1"/>
                    <wps:spPr>
                      <a:xfrm>
                        <a:off x="0" y="0"/>
                        <a:ext cx="114935" cy="262890"/>
                      </a:xfrm>
                      <a:prstGeom prst="rect">
                        <a:avLst/>
                      </a:prstGeom>
                      <a:noFill/>
                      <a:ln>
                        <a:noFill/>
                      </a:ln>
                      <a:effectLst/>
                    </wps:spPr>
                    <wps:txbx>
                      <w:txbxContent>
                        <w:p w14:paraId="7D5542B0" w14:textId="2033117E" w:rsidR="00CE3A76" w:rsidRDefault="00CE3A76">
                          <w:pPr>
                            <w:pStyle w:val="Headerorfooter1"/>
                            <w:ind w:left="0"/>
                            <w:jc w:val="left"/>
                            <w:rPr>
                              <w:sz w:val="36"/>
                              <w:szCs w:val="36"/>
                            </w:rPr>
                          </w:pPr>
                          <w:r>
                            <w:fldChar w:fldCharType="begin"/>
                          </w:r>
                          <w:r>
                            <w:instrText xml:space="preserve"> PAGE \* MERGEFORMAT </w:instrText>
                          </w:r>
                          <w:r>
                            <w:fldChar w:fldCharType="separate"/>
                          </w:r>
                          <w:r w:rsidR="00314772" w:rsidRPr="00314772">
                            <w:rPr>
                              <w:rFonts w:ascii="Times New Roman" w:eastAsia="Times New Roman" w:hAnsi="Times New Roman" w:cs="Times New Roman"/>
                              <w:b/>
                              <w:bCs/>
                              <w:noProof/>
                              <w:color w:val="000000"/>
                              <w:sz w:val="36"/>
                              <w:szCs w:val="36"/>
                              <w:lang w:val="zh-TW" w:eastAsia="zh-TW" w:bidi="zh-TW"/>
                            </w:rPr>
                            <w:t>1</w:t>
                          </w:r>
                          <w:r>
                            <w:rPr>
                              <w:rFonts w:ascii="Times New Roman" w:eastAsia="Times New Roman" w:hAnsi="Times New Roman" w:cs="Times New Roman"/>
                              <w:b/>
                              <w:bCs/>
                              <w:color w:val="000000"/>
                              <w:sz w:val="36"/>
                              <w:szCs w:val="36"/>
                              <w:lang w:val="zh-TW" w:eastAsia="zh-TW" w:bidi="zh-TW"/>
                            </w:rPr>
                            <w:fldChar w:fldCharType="end"/>
                          </w:r>
                        </w:p>
                      </w:txbxContent>
                    </wps:txbx>
                    <wps:bodyPr vert="horz" wrap="none" lIns="0" tIns="0" rIns="0" bIns="0" anchor="t">
                      <a:spAutoFit/>
                    </wps:bodyPr>
                  </wps:wsp>
                </a:graphicData>
              </a:graphic>
            </wp:anchor>
          </w:drawing>
        </mc:Choice>
        <mc:Fallback>
          <w:pict>
            <v:shapetype w14:anchorId="0237E0D1" id="_x0000_t202" coordsize="21600,21600" o:spt="202" path="m,l,21600r21600,l21600,xe">
              <v:stroke joinstyle="miter"/>
              <v:path gradientshapeok="t" o:connecttype="rect"/>
            </v:shapetype>
            <v:shape id="Shape 58" o:spid="_x0000_s1032" type="#_x0000_t202" style="position:absolute;left:0;text-align:left;margin-left:993.55pt;margin-top:1490.5pt;width:9.05pt;height:20.7pt;z-index:-251653120;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P/ntwEAAGcDAAAOAAAAZHJzL2Uyb0RvYy54bWysU81u2zAMvg/oOwi6N07StWiNKMWGosOA&#10;YRvQ7QEUWYoFSKIgqrHTpx8lx+nW3YZdZP7z+0h6cz96xw46oYUg+Gqx5EwHBZ0Ne8F//ni8vOUM&#10;swyddBC04EeN/H578W4zxFavoQfX6cSoSMB2iIL3Oce2aVD12ktcQNSBnAaSl5nUtG+6JAeq7l2z&#10;Xi5vmgFSFxMojUjWh8nJt7W+MVrlb8agzswJTthyfVN9d+VtthvZ7pOMvVUnGPIfUHhpAzU9l3qQ&#10;WbLnZP8q5a1KgGDyQoFvwBirdOVAbFbLN2yeehl15ULDwXgeE/6/surr4XtithP8mjYVpKcd1baM&#10;dBrOELGlmKdIUXn8CCMtebYjGQvn0SRfvsSGkZ/GfDyPVo+ZqZK0en93dc2ZItf6Zn17V0ffvCbH&#10;hPmTBs+KIHiizdWBysMXzASEQueQ0ivAo3Wubs+FPwwUOFl0Xf8pu/CY8BYpj7uxkr6aueygOxJF&#10;umRq3kN64WygqxA80Nly5j4HGno5oFlIs7CbBRkUJQo+4cb44TkTyIq99Jw6EJGi0DYrpdPllXP5&#10;Xa9Rr//H9hcAAAD//wMAUEsDBBQABgAIAAAAIQAP4i9q4AAAAA8BAAAPAAAAZHJzL2Rvd25yZXYu&#10;eG1sTI/LTsMwFET3SPyDdZHYUSfm0TTEqVAlNuxoERI7N76NI/yIbDdN/p7LCpajGc2cabazs2zC&#10;mIbgJZSrAhj6LujB9xI+Dq93FbCUldfKBo8SFkywba+vGlXrcPHvOO1zz6jEp1pJMDmPNeepM+hU&#10;WoURPXmnEJ3KJGPPdVQXKneWi6J44k4NnhaMGnFnsPven52E9fwZcEy4w6/T1EUzLJV9W6S8vZlf&#10;noFlnPNfGH7xCR1aYjqGs9eJWdKbal1SVoLYVCXdogwtPgpgRwn3hRAPwNuG///R/gAAAP//AwBQ&#10;SwECLQAUAAYACAAAACEAtoM4kv4AAADhAQAAEwAAAAAAAAAAAAAAAAAAAAAAW0NvbnRlbnRfVHlw&#10;ZXNdLnhtbFBLAQItABQABgAIAAAAIQA4/SH/1gAAAJQBAAALAAAAAAAAAAAAAAAAAC8BAABfcmVs&#10;cy8ucmVsc1BLAQItABQABgAIAAAAIQDCOP/ntwEAAGcDAAAOAAAAAAAAAAAAAAAAAC4CAABkcnMv&#10;ZTJvRG9jLnhtbFBLAQItABQABgAIAAAAIQAP4i9q4AAAAA8BAAAPAAAAAAAAAAAAAAAAABEEAABk&#10;cnMvZG93bnJldi54bWxQSwUGAAAAAAQABADzAAAAHgUAAAAA&#10;" filled="f" stroked="f">
              <v:textbox style="mso-fit-shape-to-text:t" inset="0,0,0,0">
                <w:txbxContent>
                  <w:p w14:paraId="7D5542B0" w14:textId="2033117E" w:rsidR="00CE3A76" w:rsidRDefault="00CE3A76">
                    <w:pPr>
                      <w:pStyle w:val="Headerorfooter1"/>
                      <w:ind w:left="0"/>
                      <w:jc w:val="left"/>
                      <w:rPr>
                        <w:sz w:val="36"/>
                        <w:szCs w:val="36"/>
                      </w:rPr>
                    </w:pPr>
                    <w:r>
                      <w:fldChar w:fldCharType="begin"/>
                    </w:r>
                    <w:r>
                      <w:instrText xml:space="preserve"> PAGE \* MERGEFORMAT </w:instrText>
                    </w:r>
                    <w:r>
                      <w:fldChar w:fldCharType="separate"/>
                    </w:r>
                    <w:r w:rsidR="00314772" w:rsidRPr="00314772">
                      <w:rPr>
                        <w:rFonts w:ascii="Times New Roman" w:eastAsia="Times New Roman" w:hAnsi="Times New Roman" w:cs="Times New Roman"/>
                        <w:b/>
                        <w:bCs/>
                        <w:noProof/>
                        <w:color w:val="000000"/>
                        <w:sz w:val="36"/>
                        <w:szCs w:val="36"/>
                        <w:lang w:val="zh-TW" w:eastAsia="zh-TW" w:bidi="zh-TW"/>
                      </w:rPr>
                      <w:t>1</w:t>
                    </w:r>
                    <w:r>
                      <w:rPr>
                        <w:rFonts w:ascii="Times New Roman" w:eastAsia="Times New Roman" w:hAnsi="Times New Roman" w:cs="Times New Roman"/>
                        <w:b/>
                        <w:bCs/>
                        <w:color w:val="000000"/>
                        <w:sz w:val="36"/>
                        <w:szCs w:val="36"/>
                        <w:lang w:val="zh-TW" w:eastAsia="zh-TW" w:bidi="zh-TW"/>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308E07" w14:textId="77777777" w:rsidR="00424F0D" w:rsidRDefault="00424F0D">
      <w:r>
        <w:separator/>
      </w:r>
    </w:p>
  </w:footnote>
  <w:footnote w:type="continuationSeparator" w:id="0">
    <w:p w14:paraId="1C6026CB" w14:textId="77777777" w:rsidR="00424F0D" w:rsidRDefault="00424F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FAEA7" w14:textId="02F0B3D1" w:rsidR="00CE3A76" w:rsidRPr="00BE2D2B" w:rsidRDefault="00BE2D2B" w:rsidP="00BE2D2B">
    <w:pPr>
      <w:pStyle w:val="afff0"/>
    </w:pPr>
    <w:r w:rsidRPr="00BE2D2B">
      <w:rPr>
        <w:rFonts w:ascii="黑体" w:eastAsia="黑体"/>
        <w:kern w:val="0"/>
        <w:sz w:val="21"/>
        <w:szCs w:val="21"/>
      </w:rPr>
      <w:t>T/CSM22</w:t>
    </w:r>
    <w:r w:rsidRPr="00BE2D2B">
      <w:rPr>
        <w:rFonts w:ascii="黑体" w:eastAsia="黑体"/>
        <w:kern w:val="0"/>
        <w:sz w:val="21"/>
        <w:szCs w:val="21"/>
      </w:rPr>
      <w:t>—</w:t>
    </w:r>
    <w:r w:rsidRPr="00BE2D2B">
      <w:rPr>
        <w:rFonts w:ascii="黑体" w:eastAsia="黑体"/>
        <w:kern w:val="0"/>
        <w:sz w:val="21"/>
        <w:szCs w:val="21"/>
      </w:rPr>
      <w:t>2022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E9408" w14:textId="1A96C7C5" w:rsidR="00CE3A76" w:rsidRDefault="00BE2D2B">
    <w:pPr>
      <w:pStyle w:val="afffff4"/>
    </w:pPr>
    <w:r w:rsidRPr="00BE2D2B">
      <w:t>T/CSM22</w:t>
    </w:r>
    <w:r w:rsidRPr="00BE2D2B">
      <w:t>—</w:t>
    </w:r>
    <w:r w:rsidRPr="00BE2D2B">
      <w:t>2022</w:t>
    </w:r>
  </w:p>
  <w:p w14:paraId="31E1FADB" w14:textId="77777777" w:rsidR="00CE3A76" w:rsidRDefault="00CE3A76">
    <w:pPr>
      <w:pStyle w:val="afff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1B136" w14:textId="77777777" w:rsidR="00CE3A76" w:rsidRDefault="00CE3A76">
    <w:pPr>
      <w:spacing w:line="1" w:lineRule="exact"/>
    </w:pPr>
    <w:r>
      <w:rPr>
        <w:noProof/>
      </w:rPr>
      <mc:AlternateContent>
        <mc:Choice Requires="wps">
          <w:drawing>
            <wp:anchor distT="0" distB="0" distL="114300" distR="114300" simplePos="0" relativeHeight="251660288" behindDoc="1" locked="0" layoutInCell="1" allowOverlap="1" wp14:anchorId="5CE3EFF3" wp14:editId="2F7918B1">
              <wp:simplePos x="0" y="0"/>
              <wp:positionH relativeFrom="page">
                <wp:posOffset>235585</wp:posOffset>
              </wp:positionH>
              <wp:positionV relativeFrom="page">
                <wp:posOffset>669925</wp:posOffset>
              </wp:positionV>
              <wp:extent cx="381635" cy="153035"/>
              <wp:effectExtent l="0" t="0" r="0" b="0"/>
              <wp:wrapNone/>
              <wp:docPr id="60" name="Shape 60"/>
              <wp:cNvGraphicFramePr/>
              <a:graphic xmlns:a="http://schemas.openxmlformats.org/drawingml/2006/main">
                <a:graphicData uri="http://schemas.microsoft.com/office/word/2010/wordprocessingShape">
                  <wps:wsp>
                    <wps:cNvSpPr txBox="1"/>
                    <wps:spPr>
                      <a:xfrm>
                        <a:off x="0" y="0"/>
                        <a:ext cx="381635" cy="153035"/>
                      </a:xfrm>
                      <a:prstGeom prst="rect">
                        <a:avLst/>
                      </a:prstGeom>
                      <a:noFill/>
                      <a:ln>
                        <a:noFill/>
                      </a:ln>
                      <a:effectLst/>
                    </wps:spPr>
                    <wps:txbx>
                      <w:txbxContent>
                        <w:p w14:paraId="2E16EDFD" w14:textId="77777777" w:rsidR="00CE3A76" w:rsidRDefault="00CE3A76"/>
                      </w:txbxContent>
                    </wps:txbx>
                    <wps:bodyPr vert="horz" wrap="none" lIns="0" tIns="0" rIns="0" bIns="0" anchor="t">
                      <a:spAutoFit/>
                    </wps:bodyPr>
                  </wps:wsp>
                </a:graphicData>
              </a:graphic>
            </wp:anchor>
          </w:drawing>
        </mc:Choice>
        <mc:Fallback>
          <w:pict>
            <v:shapetype w14:anchorId="5CE3EFF3" id="_x0000_t202" coordsize="21600,21600" o:spt="202" path="m,l,21600r21600,l21600,xe">
              <v:stroke joinstyle="miter"/>
              <v:path gradientshapeok="t" o:connecttype="rect"/>
            </v:shapetype>
            <v:shape id="Shape 60" o:spid="_x0000_s1029" type="#_x0000_t202" style="position:absolute;left:0;text-align:left;margin-left:18.55pt;margin-top:52.75pt;width:30.05pt;height:12.05pt;z-index:-251656192;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flJsQEAAGADAAAOAAAAZHJzL2Uyb0RvYy54bWysU9uK2zAQfS/0H4TeGzsbNiwmytKybCmU&#10;trDdD1BkKRbohqSNnX59j+Q428tb6Ys81zNzZsa7+8kacpIxae8YXa9aSqQTvtfuyOjz98d3d5Sk&#10;zF3PjXeS0bNM9H7/9s1uDJ288YM3vYwEIC51Y2B0yDl0TZPEIC1PKx+kg1P5aHmGGo9NH/kIdGua&#10;m7bdNqOPfYheyJRgfZiddF/xlZIif1UqyUwMo+gt1zfW91DeZr/j3THyMGhxaYP/QxeWa4eiV6gH&#10;njl5ifovKKtF9MmrvBLeNl4pLWTlADbr9g82TwMPsnLBcFK4jin9P1jx5fQtEt0zusV4HLfYUS1L&#10;oGM4Y0gdYp4CovL0wU9Y8mJPMBbOk4q2fMGGwA+c83W0cspEwLi5W283t5QIuNa3mxYy0JvX5BBT&#10;/ii9JUVgNGJzdaD89DnlOXQJKbWcf9TG1O0Z95sBmLNF1vVfsguPud8i5ekwXcgdfH8GN5wwqg4+&#10;/qBkxDkw6nCvlJhPDtMul7MIcREOi8CdQCKjc8MpvH/J6K42XYrNFUC2KFhjpX05uXInv+o16vXH&#10;2P8EAAD//wMAUEsDBBQABgAIAAAAIQCY+1FB3AAAAAkBAAAPAAAAZHJzL2Rvd25yZXYueG1sTI/B&#10;TsMwDIbvSLxD5EncWLqirVtpOqFJXLgxEBK3rPGaao1TJVnXvj3mBEf//vT7c7WfXC9GDLHzpGC1&#10;zEAgNd501Cr4/Hh93IKISZPRvSdUMGOEfX1/V+nS+Bu943hMreASiqVWYFMaSiljY9HpuPQDEu/O&#10;PjideAytNEHfuNz1Ms+yjXS6I75g9YAHi83leHUKiunL4xDxgN/nsQm2m7f926zUw2J6eQaRcEp/&#10;MPzqszrU7HTyVzJR9AqeihWTnGfrNQgGdkUO4sRBvtuArCv5/4P6BwAA//8DAFBLAQItABQABgAI&#10;AAAAIQC2gziS/gAAAOEBAAATAAAAAAAAAAAAAAAAAAAAAABbQ29udGVudF9UeXBlc10ueG1sUEsB&#10;Ai0AFAAGAAgAAAAhADj9If/WAAAAlAEAAAsAAAAAAAAAAAAAAAAALwEAAF9yZWxzLy5yZWxzUEsB&#10;Ai0AFAAGAAgAAAAhAEll+UmxAQAAYAMAAA4AAAAAAAAAAAAAAAAALgIAAGRycy9lMm9Eb2MueG1s&#10;UEsBAi0AFAAGAAgAAAAhAJj7UUHcAAAACQEAAA8AAAAAAAAAAAAAAAAACwQAAGRycy9kb3ducmV2&#10;LnhtbFBLBQYAAAAABAAEAPMAAAAUBQAAAAA=&#10;" filled="f" stroked="f">
              <v:textbox style="mso-fit-shape-to-text:t" inset="0,0,0,0">
                <w:txbxContent>
                  <w:p w14:paraId="2E16EDFD" w14:textId="77777777" w:rsidR="00CE3A76" w:rsidRDefault="00CE3A76"/>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AB49C" w14:textId="77777777" w:rsidR="00CE3A76" w:rsidRDefault="00CE3A76">
    <w:pPr>
      <w:spacing w:line="1" w:lineRule="exact"/>
    </w:pPr>
    <w:r>
      <w:rPr>
        <w:noProof/>
      </w:rPr>
      <mc:AlternateContent>
        <mc:Choice Requires="wps">
          <w:drawing>
            <wp:anchor distT="0" distB="0" distL="114300" distR="114300" simplePos="0" relativeHeight="251661312" behindDoc="1" locked="0" layoutInCell="1" allowOverlap="1" wp14:anchorId="53B508DB" wp14:editId="63218921">
              <wp:simplePos x="0" y="0"/>
              <wp:positionH relativeFrom="page">
                <wp:posOffset>10776585</wp:posOffset>
              </wp:positionH>
              <wp:positionV relativeFrom="page">
                <wp:posOffset>984250</wp:posOffset>
              </wp:positionV>
              <wp:extent cx="2136775" cy="306705"/>
              <wp:effectExtent l="0" t="0" r="0" b="0"/>
              <wp:wrapNone/>
              <wp:docPr id="56" name="Shape 56"/>
              <wp:cNvGraphicFramePr/>
              <a:graphic xmlns:a="http://schemas.openxmlformats.org/drawingml/2006/main">
                <a:graphicData uri="http://schemas.microsoft.com/office/word/2010/wordprocessingShape">
                  <wps:wsp>
                    <wps:cNvSpPr txBox="1"/>
                    <wps:spPr>
                      <a:xfrm>
                        <a:off x="0" y="0"/>
                        <a:ext cx="2136775" cy="306705"/>
                      </a:xfrm>
                      <a:prstGeom prst="rect">
                        <a:avLst/>
                      </a:prstGeom>
                      <a:noFill/>
                      <a:ln>
                        <a:noFill/>
                      </a:ln>
                      <a:effectLst/>
                    </wps:spPr>
                    <wps:txbx>
                      <w:txbxContent>
                        <w:p w14:paraId="748E4E8A" w14:textId="77777777" w:rsidR="00CE3A76" w:rsidRDefault="00CE3A76">
                          <w:pPr>
                            <w:pStyle w:val="Headerorfooter1"/>
                            <w:ind w:left="0"/>
                            <w:jc w:val="left"/>
                            <w:rPr>
                              <w:sz w:val="42"/>
                              <w:szCs w:val="42"/>
                            </w:rPr>
                          </w:pPr>
                          <w:r>
                            <w:rPr>
                              <w:rFonts w:ascii="Times New Roman" w:eastAsia="Times New Roman" w:hAnsi="Times New Roman" w:cs="Times New Roman"/>
                              <w:color w:val="000000"/>
                              <w:sz w:val="42"/>
                              <w:szCs w:val="42"/>
                              <w:lang w:eastAsia="en-US" w:bidi="en-US"/>
                            </w:rPr>
                            <w:t>GB/T 34038—2017</w:t>
                          </w:r>
                        </w:p>
                      </w:txbxContent>
                    </wps:txbx>
                    <wps:bodyPr vert="horz" wrap="none" lIns="0" tIns="0" rIns="0" bIns="0" anchor="t">
                      <a:spAutoFit/>
                    </wps:bodyPr>
                  </wps:wsp>
                </a:graphicData>
              </a:graphic>
            </wp:anchor>
          </w:drawing>
        </mc:Choice>
        <mc:Fallback>
          <w:pict>
            <v:shapetype w14:anchorId="53B508DB" id="_x0000_t202" coordsize="21600,21600" o:spt="202" path="m,l,21600r21600,l21600,xe">
              <v:stroke joinstyle="miter"/>
              <v:path gradientshapeok="t" o:connecttype="rect"/>
            </v:shapetype>
            <v:shape id="Shape 56" o:spid="_x0000_s1030" type="#_x0000_t202" style="position:absolute;left:0;text-align:left;margin-left:848.55pt;margin-top:77.5pt;width:168.25pt;height:24.15pt;z-index:-251655168;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MCMtgEAAGgDAAAOAAAAZHJzL2Uyb0RvYy54bWysU19r2zAQfy/0Owi9L3ZSkhQTJWyUlsJo&#10;C90+gCJLsUDSCUmNnX36nuQ47ba3sRf5/v7ufnfnzW6whhxliBoco/NZTYl0AlrtDoz+/HH/5ZaS&#10;mLhruQEnGT3JSHfb66tN7xu5gA5MKwNBEBeb3jPapeSbqoqik5bHGXjp0KkgWJ5QDYeqDbxHdGuq&#10;RV2vqh5C6wMIGSNa70Yn3RZ8paRIz0pFmYhhFHtL5Q3l3ee32m54cwjcd1qc2+D/0IXl2mHRC9Qd&#10;T5y8Bf0XlNUiQASVZgJsBUppIQsHZDOv/2Dz2nEvCxccTvSXMcX/Byueji+B6JbR5YoSxy3uqJQl&#10;qONweh8bjHn1GJWGbzDgkid7RGPmPKhg8xfZEPTjmE+X0cohEYHGxfxmtV4vKRHou6lX63qZYaqP&#10;bB9iepBgSRYYDbi6MlF+/B7TGDqF5GIO7rUxZX3G/WZAzNEiy/7P2ZnI2HCW0rAfCusLmT20J+SI&#10;p4zFOwi/KOnxLBh1eLeUmEeHU88XNAlhEvaTwJ3AREbHvqP/+pawydJ7rjlWQM5ZwXUW9ufTy/fy&#10;WS9RHz/I9h0AAP//AwBQSwMEFAAGAAgAAAAhAFVT1SLeAAAADQEAAA8AAABkcnMvZG93bnJldi54&#10;bWxMj8FOwzAQRO9I/IO1lbhRp62alhCnQpW4cKNUSNzceBtHjdeR7abJ37OIA9xmtE+zM+VudJ0Y&#10;MMTWk4LFPAOBVHvTUqPg+PH6uAURkyajO0+oYMIIu+r+rtSF8Td6x+GQGsEhFAutwKbUF1LG2qLT&#10;ce57JL6dfXA6sQ2NNEHfONx1cplluXS6Jf5gdY97i/XlcHUKNuOnxz7iHr/OQx1sO227t0mph9n4&#10;8gwi4Zj+YPipz9Wh4k4nfyUTRcc+f9osmGW1XvMqRpbZapWDOP0qkFUp/6+ovgEAAP//AwBQSwEC&#10;LQAUAAYACAAAACEAtoM4kv4AAADhAQAAEwAAAAAAAAAAAAAAAAAAAAAAW0NvbnRlbnRfVHlwZXNd&#10;LnhtbFBLAQItABQABgAIAAAAIQA4/SH/1gAAAJQBAAALAAAAAAAAAAAAAAAAAC8BAABfcmVscy8u&#10;cmVsc1BLAQItABQABgAIAAAAIQCpVMCMtgEAAGgDAAAOAAAAAAAAAAAAAAAAAC4CAABkcnMvZTJv&#10;RG9jLnhtbFBLAQItABQABgAIAAAAIQBVU9Ui3gAAAA0BAAAPAAAAAAAAAAAAAAAAABAEAABkcnMv&#10;ZG93bnJldi54bWxQSwUGAAAAAAQABADzAAAAGwUAAAAA&#10;" filled="f" stroked="f">
              <v:textbox style="mso-fit-shape-to-text:t" inset="0,0,0,0">
                <w:txbxContent>
                  <w:p w14:paraId="748E4E8A" w14:textId="77777777" w:rsidR="00CE3A76" w:rsidRDefault="00CE3A76">
                    <w:pPr>
                      <w:pStyle w:val="Headerorfooter1"/>
                      <w:ind w:left="0"/>
                      <w:jc w:val="left"/>
                      <w:rPr>
                        <w:sz w:val="42"/>
                        <w:szCs w:val="42"/>
                      </w:rPr>
                    </w:pPr>
                    <w:r>
                      <w:rPr>
                        <w:rFonts w:ascii="Times New Roman" w:eastAsia="Times New Roman" w:hAnsi="Times New Roman" w:cs="Times New Roman"/>
                        <w:color w:val="000000"/>
                        <w:sz w:val="42"/>
                        <w:szCs w:val="42"/>
                        <w:lang w:eastAsia="en-US" w:bidi="en-US"/>
                      </w:rPr>
                      <w:t>GB/T 34038—2017</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F88ECA8"/>
    <w:multiLevelType w:val="multilevel"/>
    <w:tmpl w:val="9F88ECA8"/>
    <w:lvl w:ilvl="0">
      <w:start w:val="3"/>
      <w:numFmt w:val="decimal"/>
      <w:pStyle w:val="a"/>
      <w:suff w:val="nothing"/>
      <w:lvlText w:val="%1　"/>
      <w:lvlJc w:val="left"/>
      <w:pPr>
        <w:ind w:left="1985" w:firstLine="0"/>
      </w:pPr>
      <w:rPr>
        <w:rFonts w:ascii="黑体" w:eastAsia="黑体" w:hAnsi="黑体" w:cs="黑体" w:hint="default"/>
        <w:b w:val="0"/>
        <w:i w:val="0"/>
        <w:sz w:val="21"/>
        <w:szCs w:val="21"/>
      </w:rPr>
    </w:lvl>
    <w:lvl w:ilvl="1">
      <w:start w:val="1"/>
      <w:numFmt w:val="decimal"/>
      <w:pStyle w:val="a0"/>
      <w:suff w:val="nothing"/>
      <w:lvlText w:val="%1.%2　"/>
      <w:lvlJc w:val="left"/>
      <w:pPr>
        <w:tabs>
          <w:tab w:val="left" w:pos="0"/>
        </w:tabs>
        <w:ind w:left="0" w:firstLine="0"/>
      </w:pPr>
      <w:rPr>
        <w:rFonts w:ascii="黑体" w:eastAsia="黑体" w:hAnsi="黑体" w:cs="黑体" w:hint="default"/>
        <w:b w:val="0"/>
        <w:bCs w:val="0"/>
        <w:i w:val="0"/>
        <w:iCs w:val="0"/>
        <w:caps w:val="0"/>
        <w:strike w:val="0"/>
        <w:dstrike w:val="0"/>
        <w:vanish w:val="0"/>
        <w:color w:val="000000"/>
        <w:spacing w:val="0"/>
        <w:kern w:val="0"/>
        <w:position w:val="0"/>
        <w:sz w:val="21"/>
        <w:szCs w:val="21"/>
        <w:u w:val="none"/>
        <w:vertAlign w:val="baseline"/>
      </w:rPr>
    </w:lvl>
    <w:lvl w:ilvl="2">
      <w:start w:val="1"/>
      <w:numFmt w:val="decimal"/>
      <w:pStyle w:val="a1"/>
      <w:suff w:val="nothing"/>
      <w:lvlText w:val="%1.%2.%3　"/>
      <w:lvlJc w:val="left"/>
      <w:pPr>
        <w:tabs>
          <w:tab w:val="left" w:pos="0"/>
        </w:tabs>
        <w:ind w:left="0" w:firstLine="0"/>
      </w:pPr>
      <w:rPr>
        <w:rFonts w:ascii="黑体" w:eastAsia="黑体" w:hAnsi="黑体" w:cs="黑体" w:hint="default"/>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pStyle w:val="a2"/>
      <w:suff w:val="nothing"/>
      <w:lvlText w:val="%1.%2.%3.%4.%5　"/>
      <w:lvlJc w:val="left"/>
      <w:pPr>
        <w:ind w:left="0" w:firstLine="0"/>
      </w:pPr>
      <w:rPr>
        <w:rFonts w:ascii="黑体" w:eastAsia="黑体" w:hAnsi="Times New Roman" w:hint="eastAsia"/>
        <w:b w:val="0"/>
        <w:i w:val="0"/>
        <w:sz w:val="21"/>
      </w:rPr>
    </w:lvl>
    <w:lvl w:ilvl="5">
      <w:start w:val="1"/>
      <w:numFmt w:val="decimal"/>
      <w:pStyle w:val="a3"/>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 w15:restartNumberingAfterBreak="0">
    <w:nsid w:val="A0FB2724"/>
    <w:multiLevelType w:val="singleLevel"/>
    <w:tmpl w:val="A0FB2724"/>
    <w:lvl w:ilvl="0">
      <w:start w:val="1"/>
      <w:numFmt w:val="decimal"/>
      <w:lvlText w:val="%1"/>
      <w:lvlJc w:val="left"/>
      <w:pPr>
        <w:tabs>
          <w:tab w:val="left" w:pos="420"/>
        </w:tabs>
        <w:ind w:left="425" w:hanging="425"/>
      </w:pPr>
      <w:rPr>
        <w:rFonts w:hint="default"/>
      </w:rPr>
    </w:lvl>
  </w:abstractNum>
  <w:abstractNum w:abstractNumId="2" w15:restartNumberingAfterBreak="0">
    <w:nsid w:val="079102AD"/>
    <w:multiLevelType w:val="multilevel"/>
    <w:tmpl w:val="079102AD"/>
    <w:lvl w:ilvl="0">
      <w:start w:val="1"/>
      <w:numFmt w:val="decimal"/>
      <w:pStyle w:val="a4"/>
      <w:suff w:val="nothing"/>
      <w:lvlText w:val="注%1："/>
      <w:lvlJc w:val="left"/>
      <w:pPr>
        <w:ind w:left="811" w:hanging="448"/>
      </w:pPr>
      <w:rPr>
        <w:rFonts w:ascii="黑体" w:eastAsia="黑体" w:hint="eastAsia"/>
        <w:b w:val="0"/>
        <w:i w:val="0"/>
        <w:sz w:val="18"/>
        <w:lang w:val="en-US"/>
      </w:rPr>
    </w:lvl>
    <w:lvl w:ilvl="1">
      <w:start w:val="1"/>
      <w:numFmt w:val="lowerLetter"/>
      <w:lvlText w:val="%2)"/>
      <w:lvlJc w:val="left"/>
      <w:pPr>
        <w:tabs>
          <w:tab w:val="left" w:pos="0"/>
        </w:tabs>
        <w:ind w:left="992" w:hanging="629"/>
      </w:pPr>
      <w:rPr>
        <w:rFonts w:hint="eastAsia"/>
      </w:rPr>
    </w:lvl>
    <w:lvl w:ilvl="2">
      <w:start w:val="1"/>
      <w:numFmt w:val="lowerRoman"/>
      <w:lvlText w:val="%3."/>
      <w:lvlJc w:val="right"/>
      <w:pPr>
        <w:tabs>
          <w:tab w:val="left" w:pos="0"/>
        </w:tabs>
        <w:ind w:left="992" w:hanging="629"/>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3" w15:restartNumberingAfterBreak="0">
    <w:nsid w:val="093C6778"/>
    <w:multiLevelType w:val="multilevel"/>
    <w:tmpl w:val="093C6778"/>
    <w:lvl w:ilvl="0">
      <w:start w:val="1"/>
      <w:numFmt w:val="decimal"/>
      <w:pStyle w:val="a5"/>
      <w:suff w:val="nothing"/>
      <w:lvlText w:val="示例%1："/>
      <w:lvlJc w:val="left"/>
      <w:pPr>
        <w:ind w:left="0" w:firstLine="397"/>
      </w:pPr>
      <w:rPr>
        <w:rFonts w:ascii="黑体" w:eastAsia="黑体" w:hint="eastAsia"/>
        <w:sz w:val="18"/>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 w15:restartNumberingAfterBreak="0">
    <w:nsid w:val="0AE367E9"/>
    <w:multiLevelType w:val="multilevel"/>
    <w:tmpl w:val="0AE367E9"/>
    <w:lvl w:ilvl="0">
      <w:start w:val="1"/>
      <w:numFmt w:val="none"/>
      <w:pStyle w:val="a6"/>
      <w:suff w:val="nothing"/>
      <w:lvlText w:val="%1示例："/>
      <w:lvlJc w:val="left"/>
      <w:pPr>
        <w:ind w:left="0" w:firstLine="363"/>
      </w:pPr>
      <w:rPr>
        <w:rFonts w:ascii="黑体" w:eastAsia="黑体" w:hint="eastAsia"/>
        <w:b w:val="0"/>
        <w:i w:val="0"/>
        <w:sz w:val="18"/>
        <w:szCs w:val="18"/>
      </w:rPr>
    </w:lvl>
    <w:lvl w:ilvl="1">
      <w:start w:val="1"/>
      <w:numFmt w:val="lowerLetter"/>
      <w:lvlText w:val="%2)"/>
      <w:lvlJc w:val="left"/>
      <w:pPr>
        <w:tabs>
          <w:tab w:val="left" w:pos="363"/>
        </w:tabs>
        <w:ind w:left="0" w:firstLine="363"/>
      </w:pPr>
      <w:rPr>
        <w:rFonts w:hint="eastAsia"/>
      </w:rPr>
    </w:lvl>
    <w:lvl w:ilvl="2">
      <w:start w:val="1"/>
      <w:numFmt w:val="lowerRoman"/>
      <w:lvlText w:val="%3."/>
      <w:lvlJc w:val="right"/>
      <w:pPr>
        <w:tabs>
          <w:tab w:val="left" w:pos="363"/>
        </w:tabs>
        <w:ind w:left="0" w:firstLine="363"/>
      </w:pPr>
      <w:rPr>
        <w:rFonts w:hint="eastAsia"/>
      </w:rPr>
    </w:lvl>
    <w:lvl w:ilvl="3">
      <w:start w:val="1"/>
      <w:numFmt w:val="decimal"/>
      <w:lvlText w:val="%4."/>
      <w:lvlJc w:val="left"/>
      <w:pPr>
        <w:tabs>
          <w:tab w:val="left" w:pos="363"/>
        </w:tabs>
        <w:ind w:left="0" w:firstLine="363"/>
      </w:pPr>
      <w:rPr>
        <w:rFonts w:hint="eastAsia"/>
      </w:rPr>
    </w:lvl>
    <w:lvl w:ilvl="4">
      <w:start w:val="1"/>
      <w:numFmt w:val="lowerLetter"/>
      <w:lvlText w:val="%5)"/>
      <w:lvlJc w:val="left"/>
      <w:pPr>
        <w:tabs>
          <w:tab w:val="left" w:pos="363"/>
        </w:tabs>
        <w:ind w:left="0" w:firstLine="363"/>
      </w:pPr>
      <w:rPr>
        <w:rFonts w:hint="eastAsia"/>
      </w:rPr>
    </w:lvl>
    <w:lvl w:ilvl="5">
      <w:start w:val="1"/>
      <w:numFmt w:val="lowerRoman"/>
      <w:lvlText w:val="%6."/>
      <w:lvlJc w:val="right"/>
      <w:pPr>
        <w:tabs>
          <w:tab w:val="left" w:pos="363"/>
        </w:tabs>
        <w:ind w:left="0" w:firstLine="363"/>
      </w:pPr>
      <w:rPr>
        <w:rFonts w:hint="eastAsia"/>
      </w:rPr>
    </w:lvl>
    <w:lvl w:ilvl="6">
      <w:start w:val="1"/>
      <w:numFmt w:val="decimal"/>
      <w:lvlText w:val="%7."/>
      <w:lvlJc w:val="left"/>
      <w:pPr>
        <w:tabs>
          <w:tab w:val="left" w:pos="363"/>
        </w:tabs>
        <w:ind w:left="0" w:firstLine="363"/>
      </w:pPr>
      <w:rPr>
        <w:rFonts w:hint="eastAsia"/>
      </w:rPr>
    </w:lvl>
    <w:lvl w:ilvl="7">
      <w:start w:val="1"/>
      <w:numFmt w:val="lowerLetter"/>
      <w:lvlText w:val="%8)"/>
      <w:lvlJc w:val="left"/>
      <w:pPr>
        <w:tabs>
          <w:tab w:val="left" w:pos="363"/>
        </w:tabs>
        <w:ind w:left="0" w:firstLine="363"/>
      </w:pPr>
      <w:rPr>
        <w:rFonts w:hint="eastAsia"/>
      </w:rPr>
    </w:lvl>
    <w:lvl w:ilvl="8">
      <w:start w:val="1"/>
      <w:numFmt w:val="lowerRoman"/>
      <w:lvlText w:val="%9."/>
      <w:lvlJc w:val="right"/>
      <w:pPr>
        <w:tabs>
          <w:tab w:val="left" w:pos="363"/>
        </w:tabs>
        <w:ind w:left="0" w:firstLine="363"/>
      </w:pPr>
      <w:rPr>
        <w:rFonts w:hint="eastAsia"/>
      </w:rPr>
    </w:lvl>
  </w:abstractNum>
  <w:abstractNum w:abstractNumId="5" w15:restartNumberingAfterBreak="0">
    <w:nsid w:val="0D983844"/>
    <w:multiLevelType w:val="multilevel"/>
    <w:tmpl w:val="0D983844"/>
    <w:lvl w:ilvl="0">
      <w:start w:val="1"/>
      <w:numFmt w:val="decimal"/>
      <w:pStyle w:val="a7"/>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6" w15:restartNumberingAfterBreak="0">
    <w:nsid w:val="0DDE2B46"/>
    <w:multiLevelType w:val="multilevel"/>
    <w:tmpl w:val="0DDE2B46"/>
    <w:lvl w:ilvl="0">
      <w:start w:val="1"/>
      <w:numFmt w:val="lowerLetter"/>
      <w:pStyle w:val="a8"/>
      <w:suff w:val="nothing"/>
      <w:lvlText w:val="%1   "/>
      <w:lvlJc w:val="left"/>
      <w:pPr>
        <w:ind w:left="544" w:hanging="181"/>
      </w:pPr>
      <w:rPr>
        <w:rFonts w:ascii="宋体" w:eastAsia="宋体" w:hint="eastAsia"/>
        <w:b w:val="0"/>
        <w:i w:val="0"/>
        <w:sz w:val="18"/>
        <w:vertAlign w:val="superscript"/>
      </w:rPr>
    </w:lvl>
    <w:lvl w:ilvl="1">
      <w:start w:val="1"/>
      <w:numFmt w:val="lowerLetter"/>
      <w:lvlText w:val="%2"/>
      <w:lvlJc w:val="left"/>
      <w:pPr>
        <w:tabs>
          <w:tab w:val="left" w:pos="57"/>
        </w:tabs>
        <w:ind w:left="363" w:hanging="363"/>
      </w:pPr>
      <w:rPr>
        <w:rFonts w:hint="eastAsia"/>
      </w:rPr>
    </w:lvl>
    <w:lvl w:ilvl="2">
      <w:start w:val="1"/>
      <w:numFmt w:val="lowerRoman"/>
      <w:lvlText w:val="%3."/>
      <w:lvlJc w:val="right"/>
      <w:pPr>
        <w:tabs>
          <w:tab w:val="left" w:pos="57"/>
        </w:tabs>
        <w:ind w:left="363" w:hanging="363"/>
      </w:pPr>
      <w:rPr>
        <w:rFonts w:hint="eastAsia"/>
      </w:rPr>
    </w:lvl>
    <w:lvl w:ilvl="3">
      <w:start w:val="1"/>
      <w:numFmt w:val="decimal"/>
      <w:lvlText w:val="%4."/>
      <w:lvlJc w:val="left"/>
      <w:pPr>
        <w:tabs>
          <w:tab w:val="left" w:pos="57"/>
        </w:tabs>
        <w:ind w:left="363" w:hanging="363"/>
      </w:pPr>
      <w:rPr>
        <w:rFonts w:hint="eastAsia"/>
      </w:rPr>
    </w:lvl>
    <w:lvl w:ilvl="4">
      <w:start w:val="1"/>
      <w:numFmt w:val="lowerLetter"/>
      <w:lvlText w:val="%5)"/>
      <w:lvlJc w:val="left"/>
      <w:pPr>
        <w:tabs>
          <w:tab w:val="left" w:pos="57"/>
        </w:tabs>
        <w:ind w:left="363" w:hanging="363"/>
      </w:pPr>
      <w:rPr>
        <w:rFonts w:hint="eastAsia"/>
      </w:rPr>
    </w:lvl>
    <w:lvl w:ilvl="5">
      <w:start w:val="1"/>
      <w:numFmt w:val="lowerRoman"/>
      <w:lvlText w:val="%6."/>
      <w:lvlJc w:val="right"/>
      <w:pPr>
        <w:tabs>
          <w:tab w:val="left" w:pos="57"/>
        </w:tabs>
        <w:ind w:left="363" w:hanging="363"/>
      </w:pPr>
      <w:rPr>
        <w:rFonts w:hint="eastAsia"/>
      </w:rPr>
    </w:lvl>
    <w:lvl w:ilvl="6">
      <w:start w:val="1"/>
      <w:numFmt w:val="decimal"/>
      <w:lvlText w:val="%7."/>
      <w:lvlJc w:val="left"/>
      <w:pPr>
        <w:tabs>
          <w:tab w:val="left" w:pos="57"/>
        </w:tabs>
        <w:ind w:left="363" w:hanging="363"/>
      </w:pPr>
      <w:rPr>
        <w:rFonts w:hint="eastAsia"/>
      </w:rPr>
    </w:lvl>
    <w:lvl w:ilvl="7">
      <w:start w:val="1"/>
      <w:numFmt w:val="lowerLetter"/>
      <w:lvlText w:val="%8)"/>
      <w:lvlJc w:val="left"/>
      <w:pPr>
        <w:tabs>
          <w:tab w:val="left" w:pos="57"/>
        </w:tabs>
        <w:ind w:left="363" w:hanging="363"/>
      </w:pPr>
      <w:rPr>
        <w:rFonts w:hint="eastAsia"/>
      </w:rPr>
    </w:lvl>
    <w:lvl w:ilvl="8">
      <w:start w:val="1"/>
      <w:numFmt w:val="lowerRoman"/>
      <w:lvlText w:val="%9."/>
      <w:lvlJc w:val="right"/>
      <w:pPr>
        <w:tabs>
          <w:tab w:val="left" w:pos="57"/>
        </w:tabs>
        <w:ind w:left="363" w:hanging="363"/>
      </w:pPr>
      <w:rPr>
        <w:rFonts w:hint="eastAsia"/>
      </w:rPr>
    </w:lvl>
  </w:abstractNum>
  <w:abstractNum w:abstractNumId="7" w15:restartNumberingAfterBreak="0">
    <w:nsid w:val="1DBF583A"/>
    <w:multiLevelType w:val="multilevel"/>
    <w:tmpl w:val="1DBF583A"/>
    <w:lvl w:ilvl="0">
      <w:start w:val="1"/>
      <w:numFmt w:val="decimal"/>
      <w:pStyle w:val="a9"/>
      <w:suff w:val="nothing"/>
      <w:lvlText w:val="注%1："/>
      <w:lvlJc w:val="left"/>
      <w:pPr>
        <w:ind w:left="811" w:hanging="448"/>
      </w:pPr>
      <w:rPr>
        <w:rFonts w:ascii="黑体" w:eastAsia="黑体" w:hint="eastAsia"/>
        <w:b w:val="0"/>
        <w:i w:val="0"/>
        <w:sz w:val="18"/>
        <w:szCs w:val="18"/>
        <w:vertAlign w:val="baseline"/>
      </w:rPr>
    </w:lvl>
    <w:lvl w:ilvl="1">
      <w:start w:val="1"/>
      <w:numFmt w:val="lowerLetter"/>
      <w:lvlText w:val="%2)"/>
      <w:lvlJc w:val="left"/>
      <w:pPr>
        <w:tabs>
          <w:tab w:val="left" w:pos="180"/>
        </w:tabs>
        <w:ind w:left="1172" w:hanging="629"/>
      </w:pPr>
      <w:rPr>
        <w:rFonts w:hint="eastAsia"/>
        <w:vertAlign w:val="baseline"/>
      </w:rPr>
    </w:lvl>
    <w:lvl w:ilvl="2">
      <w:start w:val="1"/>
      <w:numFmt w:val="lowerRoman"/>
      <w:lvlText w:val="%3."/>
      <w:lvlJc w:val="right"/>
      <w:pPr>
        <w:tabs>
          <w:tab w:val="left" w:pos="180"/>
        </w:tabs>
        <w:ind w:left="1172" w:hanging="629"/>
      </w:pPr>
      <w:rPr>
        <w:rFonts w:hint="eastAsia"/>
        <w:vertAlign w:val="baseline"/>
      </w:rPr>
    </w:lvl>
    <w:lvl w:ilvl="3">
      <w:start w:val="1"/>
      <w:numFmt w:val="decimal"/>
      <w:lvlText w:val="%4."/>
      <w:lvlJc w:val="left"/>
      <w:pPr>
        <w:tabs>
          <w:tab w:val="left" w:pos="180"/>
        </w:tabs>
        <w:ind w:left="1172" w:hanging="629"/>
      </w:pPr>
      <w:rPr>
        <w:rFonts w:hint="eastAsia"/>
        <w:vertAlign w:val="baseline"/>
      </w:rPr>
    </w:lvl>
    <w:lvl w:ilvl="4">
      <w:start w:val="1"/>
      <w:numFmt w:val="lowerLetter"/>
      <w:lvlText w:val="%5)"/>
      <w:lvlJc w:val="left"/>
      <w:pPr>
        <w:tabs>
          <w:tab w:val="left" w:pos="180"/>
        </w:tabs>
        <w:ind w:left="1172" w:hanging="629"/>
      </w:pPr>
      <w:rPr>
        <w:rFonts w:hint="eastAsia"/>
        <w:vertAlign w:val="baseline"/>
      </w:rPr>
    </w:lvl>
    <w:lvl w:ilvl="5">
      <w:start w:val="1"/>
      <w:numFmt w:val="lowerRoman"/>
      <w:lvlText w:val="%6."/>
      <w:lvlJc w:val="right"/>
      <w:pPr>
        <w:tabs>
          <w:tab w:val="left" w:pos="180"/>
        </w:tabs>
        <w:ind w:left="1172" w:hanging="629"/>
      </w:pPr>
      <w:rPr>
        <w:rFonts w:hint="eastAsia"/>
        <w:vertAlign w:val="baseline"/>
      </w:rPr>
    </w:lvl>
    <w:lvl w:ilvl="6">
      <w:start w:val="1"/>
      <w:numFmt w:val="decimal"/>
      <w:lvlText w:val="%7."/>
      <w:lvlJc w:val="left"/>
      <w:pPr>
        <w:tabs>
          <w:tab w:val="left" w:pos="180"/>
        </w:tabs>
        <w:ind w:left="1172" w:hanging="629"/>
      </w:pPr>
      <w:rPr>
        <w:rFonts w:hint="eastAsia"/>
        <w:vertAlign w:val="baseline"/>
      </w:rPr>
    </w:lvl>
    <w:lvl w:ilvl="7">
      <w:start w:val="1"/>
      <w:numFmt w:val="lowerLetter"/>
      <w:lvlText w:val="%8)"/>
      <w:lvlJc w:val="left"/>
      <w:pPr>
        <w:tabs>
          <w:tab w:val="left" w:pos="180"/>
        </w:tabs>
        <w:ind w:left="1172" w:hanging="629"/>
      </w:pPr>
      <w:rPr>
        <w:rFonts w:hint="eastAsia"/>
        <w:vertAlign w:val="baseline"/>
      </w:rPr>
    </w:lvl>
    <w:lvl w:ilvl="8">
      <w:start w:val="1"/>
      <w:numFmt w:val="lowerRoman"/>
      <w:lvlText w:val="%9."/>
      <w:lvlJc w:val="right"/>
      <w:pPr>
        <w:tabs>
          <w:tab w:val="left" w:pos="180"/>
        </w:tabs>
        <w:ind w:left="1172" w:hanging="629"/>
      </w:pPr>
      <w:rPr>
        <w:rFonts w:hint="eastAsia"/>
        <w:vertAlign w:val="baseline"/>
      </w:rPr>
    </w:lvl>
  </w:abstractNum>
  <w:abstractNum w:abstractNumId="8" w15:restartNumberingAfterBreak="0">
    <w:nsid w:val="22827D5B"/>
    <w:multiLevelType w:val="multilevel"/>
    <w:tmpl w:val="22827D5B"/>
    <w:lvl w:ilvl="0">
      <w:start w:val="1"/>
      <w:numFmt w:val="none"/>
      <w:pStyle w:val="aa"/>
      <w:suff w:val="nothing"/>
      <w:lvlText w:val="%1注："/>
      <w:lvlJc w:val="left"/>
      <w:pPr>
        <w:ind w:left="363" w:hanging="363"/>
      </w:pPr>
      <w:rPr>
        <w:rFonts w:ascii="黑体" w:eastAsia="黑体" w:hAnsi="Times New Roman" w:hint="eastAsia"/>
        <w:b w:val="0"/>
        <w:i w:val="0"/>
        <w:sz w:val="18"/>
        <w:lang w:val="en-US"/>
      </w:rPr>
    </w:lvl>
    <w:lvl w:ilvl="1">
      <w:start w:val="1"/>
      <w:numFmt w:val="lowerLetter"/>
      <w:lvlText w:val="%2)"/>
      <w:lvlJc w:val="left"/>
      <w:pPr>
        <w:tabs>
          <w:tab w:val="left" w:pos="1140"/>
        </w:tabs>
        <w:ind w:left="726" w:hanging="363"/>
      </w:pPr>
      <w:rPr>
        <w:rFonts w:hint="eastAsia"/>
      </w:rPr>
    </w:lvl>
    <w:lvl w:ilvl="2">
      <w:start w:val="1"/>
      <w:numFmt w:val="lowerRoman"/>
      <w:lvlText w:val="%3."/>
      <w:lvlJc w:val="right"/>
      <w:pPr>
        <w:tabs>
          <w:tab w:val="left" w:pos="1140"/>
        </w:tabs>
        <w:ind w:left="726" w:hanging="363"/>
      </w:pPr>
      <w:rPr>
        <w:rFonts w:hint="eastAsia"/>
      </w:rPr>
    </w:lvl>
    <w:lvl w:ilvl="3">
      <w:start w:val="1"/>
      <w:numFmt w:val="decimal"/>
      <w:lvlText w:val="%4."/>
      <w:lvlJc w:val="left"/>
      <w:pPr>
        <w:tabs>
          <w:tab w:val="left" w:pos="1140"/>
        </w:tabs>
        <w:ind w:left="726" w:hanging="363"/>
      </w:pPr>
      <w:rPr>
        <w:rFonts w:hint="eastAsia"/>
      </w:rPr>
    </w:lvl>
    <w:lvl w:ilvl="4">
      <w:start w:val="1"/>
      <w:numFmt w:val="lowerLetter"/>
      <w:lvlText w:val="%5)"/>
      <w:lvlJc w:val="left"/>
      <w:pPr>
        <w:tabs>
          <w:tab w:val="left" w:pos="1140"/>
        </w:tabs>
        <w:ind w:left="726" w:hanging="363"/>
      </w:pPr>
      <w:rPr>
        <w:rFonts w:hint="eastAsia"/>
      </w:rPr>
    </w:lvl>
    <w:lvl w:ilvl="5">
      <w:start w:val="1"/>
      <w:numFmt w:val="lowerRoman"/>
      <w:lvlText w:val="%6."/>
      <w:lvlJc w:val="right"/>
      <w:pPr>
        <w:tabs>
          <w:tab w:val="left" w:pos="1140"/>
        </w:tabs>
        <w:ind w:left="726" w:hanging="363"/>
      </w:pPr>
      <w:rPr>
        <w:rFonts w:hint="eastAsia"/>
      </w:rPr>
    </w:lvl>
    <w:lvl w:ilvl="6">
      <w:start w:val="1"/>
      <w:numFmt w:val="decimal"/>
      <w:lvlText w:val="%7."/>
      <w:lvlJc w:val="left"/>
      <w:pPr>
        <w:tabs>
          <w:tab w:val="left" w:pos="1140"/>
        </w:tabs>
        <w:ind w:left="726" w:hanging="363"/>
      </w:pPr>
      <w:rPr>
        <w:rFonts w:hint="eastAsia"/>
      </w:rPr>
    </w:lvl>
    <w:lvl w:ilvl="7">
      <w:start w:val="1"/>
      <w:numFmt w:val="lowerLetter"/>
      <w:lvlText w:val="%8)"/>
      <w:lvlJc w:val="left"/>
      <w:pPr>
        <w:tabs>
          <w:tab w:val="left" w:pos="1140"/>
        </w:tabs>
        <w:ind w:left="726" w:hanging="363"/>
      </w:pPr>
      <w:rPr>
        <w:rFonts w:hint="eastAsia"/>
      </w:rPr>
    </w:lvl>
    <w:lvl w:ilvl="8">
      <w:start w:val="1"/>
      <w:numFmt w:val="lowerRoman"/>
      <w:lvlText w:val="%9."/>
      <w:lvlJc w:val="right"/>
      <w:pPr>
        <w:tabs>
          <w:tab w:val="left" w:pos="1140"/>
        </w:tabs>
        <w:ind w:left="726" w:hanging="363"/>
      </w:pPr>
      <w:rPr>
        <w:rFonts w:hint="eastAsia"/>
      </w:rPr>
    </w:lvl>
  </w:abstractNum>
  <w:abstractNum w:abstractNumId="9" w15:restartNumberingAfterBreak="0">
    <w:nsid w:val="2A8F7113"/>
    <w:multiLevelType w:val="multilevel"/>
    <w:tmpl w:val="2A8F7113"/>
    <w:lvl w:ilvl="0">
      <w:start w:val="1"/>
      <w:numFmt w:val="upperLetter"/>
      <w:pStyle w:val="ab"/>
      <w:suff w:val="space"/>
      <w:lvlText w:val="%1"/>
      <w:lvlJc w:val="left"/>
      <w:pPr>
        <w:ind w:left="623" w:hanging="425"/>
      </w:pPr>
      <w:rPr>
        <w:rFonts w:hint="eastAsia"/>
      </w:rPr>
    </w:lvl>
    <w:lvl w:ilvl="1">
      <w:start w:val="1"/>
      <w:numFmt w:val="decimal"/>
      <w:pStyle w:val="ac"/>
      <w:suff w:val="nothing"/>
      <w:lvlText w:val="图%1.%2　"/>
      <w:lvlJc w:val="left"/>
      <w:pPr>
        <w:ind w:left="1190" w:hanging="567"/>
      </w:pPr>
      <w:rPr>
        <w:rFonts w:hint="eastAsia"/>
      </w:rPr>
    </w:lvl>
    <w:lvl w:ilvl="2">
      <w:start w:val="1"/>
      <w:numFmt w:val="decimal"/>
      <w:lvlText w:val="%1.%2.%3"/>
      <w:lvlJc w:val="left"/>
      <w:pPr>
        <w:tabs>
          <w:tab w:val="left" w:pos="1616"/>
        </w:tabs>
        <w:ind w:left="1616" w:hanging="567"/>
      </w:pPr>
      <w:rPr>
        <w:rFonts w:hint="eastAsia"/>
      </w:rPr>
    </w:lvl>
    <w:lvl w:ilvl="3">
      <w:start w:val="1"/>
      <w:numFmt w:val="decimal"/>
      <w:lvlText w:val="%1.%2.%3.%4"/>
      <w:lvlJc w:val="left"/>
      <w:pPr>
        <w:tabs>
          <w:tab w:val="left" w:pos="2914"/>
        </w:tabs>
        <w:ind w:left="2182" w:hanging="708"/>
      </w:pPr>
      <w:rPr>
        <w:rFonts w:hint="eastAsia"/>
      </w:rPr>
    </w:lvl>
    <w:lvl w:ilvl="4">
      <w:start w:val="1"/>
      <w:numFmt w:val="decimal"/>
      <w:lvlText w:val="%1.%2.%3.%4.%5"/>
      <w:lvlJc w:val="left"/>
      <w:pPr>
        <w:tabs>
          <w:tab w:val="left" w:pos="3699"/>
        </w:tabs>
        <w:ind w:left="2749" w:hanging="850"/>
      </w:pPr>
      <w:rPr>
        <w:rFonts w:hint="eastAsia"/>
      </w:rPr>
    </w:lvl>
    <w:lvl w:ilvl="5">
      <w:start w:val="1"/>
      <w:numFmt w:val="decimal"/>
      <w:lvlText w:val="%1.%2.%3.%4.%5.%6"/>
      <w:lvlJc w:val="left"/>
      <w:pPr>
        <w:tabs>
          <w:tab w:val="left" w:pos="4484"/>
        </w:tabs>
        <w:ind w:left="3458" w:hanging="1134"/>
      </w:pPr>
      <w:rPr>
        <w:rFonts w:hint="eastAsia"/>
      </w:rPr>
    </w:lvl>
    <w:lvl w:ilvl="6">
      <w:start w:val="1"/>
      <w:numFmt w:val="decimal"/>
      <w:lvlText w:val="%1.%2.%3.%4.%5.%6.%7"/>
      <w:lvlJc w:val="left"/>
      <w:pPr>
        <w:tabs>
          <w:tab w:val="left" w:pos="5269"/>
        </w:tabs>
        <w:ind w:left="4025" w:hanging="1276"/>
      </w:pPr>
      <w:rPr>
        <w:rFonts w:hint="eastAsia"/>
      </w:rPr>
    </w:lvl>
    <w:lvl w:ilvl="7">
      <w:start w:val="1"/>
      <w:numFmt w:val="decimal"/>
      <w:lvlText w:val="%1.%2.%3.%4.%5.%6.%7.%8"/>
      <w:lvlJc w:val="left"/>
      <w:pPr>
        <w:tabs>
          <w:tab w:val="left" w:pos="6054"/>
        </w:tabs>
        <w:ind w:left="4592" w:hanging="1418"/>
      </w:pPr>
      <w:rPr>
        <w:rFonts w:hint="eastAsia"/>
      </w:rPr>
    </w:lvl>
    <w:lvl w:ilvl="8">
      <w:start w:val="1"/>
      <w:numFmt w:val="decimal"/>
      <w:lvlText w:val="%1.%2.%3.%4.%5.%6.%7.%8.%9"/>
      <w:lvlJc w:val="left"/>
      <w:pPr>
        <w:tabs>
          <w:tab w:val="left" w:pos="6840"/>
        </w:tabs>
        <w:ind w:left="5300" w:hanging="1700"/>
      </w:pPr>
      <w:rPr>
        <w:rFonts w:hint="eastAsia"/>
      </w:rPr>
    </w:lvl>
  </w:abstractNum>
  <w:abstractNum w:abstractNumId="10" w15:restartNumberingAfterBreak="0">
    <w:nsid w:val="2C5917C3"/>
    <w:multiLevelType w:val="multilevel"/>
    <w:tmpl w:val="2C5917C3"/>
    <w:lvl w:ilvl="0">
      <w:start w:val="1"/>
      <w:numFmt w:val="none"/>
      <w:pStyle w:val="ad"/>
      <w:suff w:val="nothing"/>
      <w:lvlText w:val="%1——"/>
      <w:lvlJc w:val="left"/>
      <w:pPr>
        <w:ind w:left="833" w:hanging="408"/>
      </w:pPr>
      <w:rPr>
        <w:rFonts w:ascii="Times New Roman" w:hAnsi="Times New Roman" w:cs="Times New Roman" w:hint="default"/>
      </w:rPr>
    </w:lvl>
    <w:lvl w:ilvl="1">
      <w:start w:val="1"/>
      <w:numFmt w:val="bullet"/>
      <w:pStyle w:val="ae"/>
      <w:lvlText w:val=""/>
      <w:lvlJc w:val="left"/>
      <w:pPr>
        <w:tabs>
          <w:tab w:val="left" w:pos="760"/>
        </w:tabs>
        <w:ind w:left="1264" w:hanging="413"/>
      </w:pPr>
      <w:rPr>
        <w:rFonts w:ascii="Symbol" w:hAnsi="Symbol" w:hint="default"/>
        <w:color w:val="auto"/>
      </w:rPr>
    </w:lvl>
    <w:lvl w:ilvl="2">
      <w:start w:val="1"/>
      <w:numFmt w:val="bullet"/>
      <w:pStyle w:val="af"/>
      <w:lvlText w:val=""/>
      <w:lvlJc w:val="left"/>
      <w:pPr>
        <w:tabs>
          <w:tab w:val="left" w:pos="1678"/>
        </w:tabs>
        <w:ind w:left="1678" w:hanging="414"/>
      </w:pPr>
      <w:rPr>
        <w:rFonts w:ascii="Symbol" w:hAnsi="Symbol" w:hint="default"/>
        <w:color w:val="auto"/>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11" w15:restartNumberingAfterBreak="0">
    <w:nsid w:val="3D733618"/>
    <w:multiLevelType w:val="multilevel"/>
    <w:tmpl w:val="3D733618"/>
    <w:lvl w:ilvl="0">
      <w:start w:val="1"/>
      <w:numFmt w:val="decimal"/>
      <w:pStyle w:val="af0"/>
      <w:lvlText w:val="%1)"/>
      <w:lvlJc w:val="left"/>
      <w:pPr>
        <w:tabs>
          <w:tab w:val="left" w:pos="0"/>
        </w:tabs>
        <w:ind w:left="720" w:hanging="357"/>
      </w:pPr>
      <w:rPr>
        <w:rFonts w:hint="eastAsia"/>
      </w:rPr>
    </w:lvl>
    <w:lvl w:ilvl="1">
      <w:start w:val="1"/>
      <w:numFmt w:val="lowerLetter"/>
      <w:lvlText w:val="%2)"/>
      <w:lvlJc w:val="left"/>
      <w:pPr>
        <w:tabs>
          <w:tab w:val="left" w:pos="504"/>
        </w:tabs>
        <w:ind w:left="544" w:hanging="544"/>
      </w:pPr>
      <w:rPr>
        <w:rFonts w:hint="eastAsia"/>
      </w:rPr>
    </w:lvl>
    <w:lvl w:ilvl="2">
      <w:start w:val="1"/>
      <w:numFmt w:val="lowerRoman"/>
      <w:lvlText w:val="%3."/>
      <w:lvlJc w:val="right"/>
      <w:pPr>
        <w:tabs>
          <w:tab w:val="left" w:pos="532"/>
        </w:tabs>
        <w:ind w:left="544" w:hanging="544"/>
      </w:pPr>
      <w:rPr>
        <w:rFonts w:hint="eastAsia"/>
      </w:rPr>
    </w:lvl>
    <w:lvl w:ilvl="3">
      <w:start w:val="1"/>
      <w:numFmt w:val="decimal"/>
      <w:lvlText w:val="%4."/>
      <w:lvlJc w:val="left"/>
      <w:pPr>
        <w:tabs>
          <w:tab w:val="left" w:pos="560"/>
        </w:tabs>
        <w:ind w:left="544" w:hanging="544"/>
      </w:pPr>
      <w:rPr>
        <w:rFonts w:hint="eastAsia"/>
      </w:rPr>
    </w:lvl>
    <w:lvl w:ilvl="4">
      <w:start w:val="1"/>
      <w:numFmt w:val="lowerLetter"/>
      <w:lvlText w:val="%5)"/>
      <w:lvlJc w:val="left"/>
      <w:pPr>
        <w:tabs>
          <w:tab w:val="left" w:pos="588"/>
        </w:tabs>
        <w:ind w:left="544" w:hanging="544"/>
      </w:pPr>
      <w:rPr>
        <w:rFonts w:hint="eastAsia"/>
      </w:rPr>
    </w:lvl>
    <w:lvl w:ilvl="5">
      <w:start w:val="1"/>
      <w:numFmt w:val="lowerRoman"/>
      <w:lvlText w:val="%6."/>
      <w:lvlJc w:val="right"/>
      <w:pPr>
        <w:tabs>
          <w:tab w:val="left" w:pos="616"/>
        </w:tabs>
        <w:ind w:left="544" w:hanging="544"/>
      </w:pPr>
      <w:rPr>
        <w:rFonts w:hint="eastAsia"/>
      </w:rPr>
    </w:lvl>
    <w:lvl w:ilvl="6">
      <w:start w:val="1"/>
      <w:numFmt w:val="decimal"/>
      <w:lvlText w:val="%7."/>
      <w:lvlJc w:val="left"/>
      <w:pPr>
        <w:tabs>
          <w:tab w:val="left" w:pos="644"/>
        </w:tabs>
        <w:ind w:left="544" w:hanging="544"/>
      </w:pPr>
      <w:rPr>
        <w:rFonts w:hint="eastAsia"/>
      </w:rPr>
    </w:lvl>
    <w:lvl w:ilvl="7">
      <w:start w:val="1"/>
      <w:numFmt w:val="lowerLetter"/>
      <w:lvlText w:val="%8)"/>
      <w:lvlJc w:val="left"/>
      <w:pPr>
        <w:tabs>
          <w:tab w:val="left" w:pos="672"/>
        </w:tabs>
        <w:ind w:left="544" w:hanging="544"/>
      </w:pPr>
      <w:rPr>
        <w:rFonts w:hint="eastAsia"/>
      </w:rPr>
    </w:lvl>
    <w:lvl w:ilvl="8">
      <w:start w:val="1"/>
      <w:numFmt w:val="lowerRoman"/>
      <w:lvlText w:val="%9."/>
      <w:lvlJc w:val="right"/>
      <w:pPr>
        <w:tabs>
          <w:tab w:val="left" w:pos="700"/>
        </w:tabs>
        <w:ind w:left="544" w:hanging="544"/>
      </w:pPr>
      <w:rPr>
        <w:rFonts w:hint="eastAsia"/>
      </w:rPr>
    </w:lvl>
  </w:abstractNum>
  <w:abstractNum w:abstractNumId="12" w15:restartNumberingAfterBreak="0">
    <w:nsid w:val="44C50F90"/>
    <w:multiLevelType w:val="multilevel"/>
    <w:tmpl w:val="44C50F90"/>
    <w:lvl w:ilvl="0">
      <w:start w:val="1"/>
      <w:numFmt w:val="lowerLetter"/>
      <w:pStyle w:val="af1"/>
      <w:lvlText w:val="%1)"/>
      <w:lvlJc w:val="left"/>
      <w:pPr>
        <w:tabs>
          <w:tab w:val="left" w:pos="840"/>
        </w:tabs>
        <w:ind w:left="839" w:hanging="419"/>
      </w:pPr>
      <w:rPr>
        <w:rFonts w:ascii="宋体" w:eastAsia="宋体" w:hint="eastAsia"/>
        <w:b w:val="0"/>
        <w:i w:val="0"/>
        <w:sz w:val="21"/>
        <w:szCs w:val="21"/>
      </w:rPr>
    </w:lvl>
    <w:lvl w:ilvl="1">
      <w:start w:val="1"/>
      <w:numFmt w:val="decimal"/>
      <w:pStyle w:val="af2"/>
      <w:lvlText w:val="%2)"/>
      <w:lvlJc w:val="left"/>
      <w:pPr>
        <w:tabs>
          <w:tab w:val="left" w:pos="1260"/>
        </w:tabs>
        <w:ind w:left="1259" w:hanging="419"/>
      </w:pPr>
      <w:rPr>
        <w:rFonts w:hint="eastAsia"/>
      </w:rPr>
    </w:lvl>
    <w:lvl w:ilvl="2">
      <w:start w:val="1"/>
      <w:numFmt w:val="decimal"/>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3" w15:restartNumberingAfterBreak="0">
    <w:nsid w:val="4B733A5F"/>
    <w:multiLevelType w:val="multilevel"/>
    <w:tmpl w:val="4B733A5F"/>
    <w:lvl w:ilvl="0">
      <w:start w:val="1"/>
      <w:numFmt w:val="decimal"/>
      <w:pStyle w:val="af3"/>
      <w:suff w:val="nothing"/>
      <w:lvlText w:val="示例%1："/>
      <w:lvlJc w:val="left"/>
      <w:pPr>
        <w:ind w:left="0" w:firstLine="363"/>
      </w:pPr>
      <w:rPr>
        <w:rFonts w:ascii="黑体" w:eastAsia="黑体" w:hAnsi="Times New Roman" w:hint="eastAsia"/>
        <w:b w:val="0"/>
        <w:i w:val="0"/>
        <w:sz w:val="18"/>
        <w:szCs w:val="18"/>
        <w:vertAlign w:val="baseline"/>
      </w:rPr>
    </w:lvl>
    <w:lvl w:ilvl="1">
      <w:start w:val="1"/>
      <w:numFmt w:val="none"/>
      <w:suff w:val="space"/>
      <w:lvlText w:val=""/>
      <w:lvlJc w:val="left"/>
      <w:pPr>
        <w:ind w:left="0" w:firstLine="0"/>
      </w:pPr>
      <w:rPr>
        <w:rFonts w:hint="eastAsia"/>
        <w:vertAlign w:val="baseline"/>
      </w:rPr>
    </w:lvl>
    <w:lvl w:ilvl="2">
      <w:start w:val="1"/>
      <w:numFmt w:val="decimal"/>
      <w:suff w:val="space"/>
      <w:lvlText w:val="2.2.%3"/>
      <w:lvlJc w:val="left"/>
      <w:pPr>
        <w:ind w:left="0" w:firstLine="0"/>
      </w:pPr>
      <w:rPr>
        <w:rFonts w:hint="eastAsia"/>
        <w:vertAlign w:val="baseline"/>
      </w:rPr>
    </w:lvl>
    <w:lvl w:ilvl="3">
      <w:start w:val="1"/>
      <w:numFmt w:val="decimal"/>
      <w:lvlText w:val="%4."/>
      <w:lvlJc w:val="left"/>
      <w:pPr>
        <w:tabs>
          <w:tab w:val="left" w:pos="0"/>
        </w:tabs>
        <w:ind w:left="992" w:hanging="629"/>
      </w:pPr>
      <w:rPr>
        <w:rFonts w:hint="eastAsia"/>
        <w:vertAlign w:val="baseline"/>
      </w:rPr>
    </w:lvl>
    <w:lvl w:ilvl="4">
      <w:start w:val="1"/>
      <w:numFmt w:val="lowerLetter"/>
      <w:lvlText w:val="%5)"/>
      <w:lvlJc w:val="left"/>
      <w:pPr>
        <w:tabs>
          <w:tab w:val="left" w:pos="0"/>
        </w:tabs>
        <w:ind w:left="992" w:hanging="629"/>
      </w:pPr>
      <w:rPr>
        <w:rFonts w:hint="eastAsia"/>
        <w:vertAlign w:val="baseline"/>
      </w:rPr>
    </w:lvl>
    <w:lvl w:ilvl="5">
      <w:start w:val="1"/>
      <w:numFmt w:val="lowerRoman"/>
      <w:lvlText w:val="%6."/>
      <w:lvlJc w:val="right"/>
      <w:pPr>
        <w:tabs>
          <w:tab w:val="left" w:pos="0"/>
        </w:tabs>
        <w:ind w:left="992" w:hanging="629"/>
      </w:pPr>
      <w:rPr>
        <w:rFonts w:hint="eastAsia"/>
        <w:vertAlign w:val="baseline"/>
      </w:rPr>
    </w:lvl>
    <w:lvl w:ilvl="6">
      <w:start w:val="1"/>
      <w:numFmt w:val="decimal"/>
      <w:lvlText w:val="%7."/>
      <w:lvlJc w:val="left"/>
      <w:pPr>
        <w:tabs>
          <w:tab w:val="left" w:pos="0"/>
        </w:tabs>
        <w:ind w:left="992" w:hanging="629"/>
      </w:pPr>
      <w:rPr>
        <w:rFonts w:hint="eastAsia"/>
        <w:vertAlign w:val="baseline"/>
      </w:rPr>
    </w:lvl>
    <w:lvl w:ilvl="7">
      <w:start w:val="1"/>
      <w:numFmt w:val="lowerLetter"/>
      <w:lvlText w:val="%8)"/>
      <w:lvlJc w:val="left"/>
      <w:pPr>
        <w:tabs>
          <w:tab w:val="left" w:pos="0"/>
        </w:tabs>
        <w:ind w:left="992" w:hanging="629"/>
      </w:pPr>
      <w:rPr>
        <w:rFonts w:hint="eastAsia"/>
        <w:vertAlign w:val="baseline"/>
      </w:rPr>
    </w:lvl>
    <w:lvl w:ilvl="8">
      <w:start w:val="1"/>
      <w:numFmt w:val="lowerRoman"/>
      <w:lvlText w:val="%9."/>
      <w:lvlJc w:val="right"/>
      <w:pPr>
        <w:tabs>
          <w:tab w:val="left" w:pos="0"/>
        </w:tabs>
        <w:ind w:left="992" w:hanging="629"/>
      </w:pPr>
      <w:rPr>
        <w:rFonts w:hint="eastAsia"/>
        <w:vertAlign w:val="baseline"/>
      </w:rPr>
    </w:lvl>
  </w:abstractNum>
  <w:abstractNum w:abstractNumId="14" w15:restartNumberingAfterBreak="0">
    <w:nsid w:val="50B31915"/>
    <w:multiLevelType w:val="multilevel"/>
    <w:tmpl w:val="50B31915"/>
    <w:lvl w:ilvl="0">
      <w:start w:val="1"/>
      <w:numFmt w:val="decimal"/>
      <w:suff w:val="space"/>
      <w:lvlText w:val="[%1]"/>
      <w:lvlJc w:val="left"/>
      <w:pPr>
        <w:ind w:left="0" w:firstLine="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 w15:restartNumberingAfterBreak="0">
    <w:nsid w:val="60B55DC2"/>
    <w:multiLevelType w:val="multilevel"/>
    <w:tmpl w:val="60B55DC2"/>
    <w:lvl w:ilvl="0">
      <w:start w:val="1"/>
      <w:numFmt w:val="upperLetter"/>
      <w:pStyle w:val="af4"/>
      <w:lvlText w:val="%1"/>
      <w:lvlJc w:val="left"/>
      <w:pPr>
        <w:tabs>
          <w:tab w:val="left" w:pos="0"/>
        </w:tabs>
        <w:ind w:left="0" w:hanging="425"/>
      </w:pPr>
      <w:rPr>
        <w:rFonts w:hint="eastAsia"/>
      </w:rPr>
    </w:lvl>
    <w:lvl w:ilvl="1">
      <w:start w:val="1"/>
      <w:numFmt w:val="decimal"/>
      <w:pStyle w:val="af5"/>
      <w:suff w:val="nothing"/>
      <w:lvlText w:val="表%1.%2　"/>
      <w:lvlJc w:val="left"/>
      <w:pPr>
        <w:ind w:left="3402" w:hanging="567"/>
      </w:pPr>
      <w:rPr>
        <w:rFonts w:ascii="黑体" w:eastAsia="黑体" w:hAnsi="黑体"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2291"/>
        </w:tabs>
        <w:ind w:left="1559" w:hanging="708"/>
      </w:pPr>
      <w:rPr>
        <w:rFonts w:hint="eastAsia"/>
      </w:rPr>
    </w:lvl>
    <w:lvl w:ilvl="4">
      <w:start w:val="1"/>
      <w:numFmt w:val="decimal"/>
      <w:lvlText w:val="%1.%2.%3.%4.%5"/>
      <w:lvlJc w:val="left"/>
      <w:pPr>
        <w:tabs>
          <w:tab w:val="left" w:pos="3076"/>
        </w:tabs>
        <w:ind w:left="2126" w:hanging="850"/>
      </w:pPr>
      <w:rPr>
        <w:rFonts w:hint="eastAsia"/>
      </w:rPr>
    </w:lvl>
    <w:lvl w:ilvl="5">
      <w:start w:val="1"/>
      <w:numFmt w:val="decimal"/>
      <w:lvlText w:val="%1.%2.%3.%4.%5.%6"/>
      <w:lvlJc w:val="left"/>
      <w:pPr>
        <w:tabs>
          <w:tab w:val="left" w:pos="3861"/>
        </w:tabs>
        <w:ind w:left="2835" w:hanging="1134"/>
      </w:pPr>
      <w:rPr>
        <w:rFonts w:hint="eastAsia"/>
      </w:rPr>
    </w:lvl>
    <w:lvl w:ilvl="6">
      <w:start w:val="1"/>
      <w:numFmt w:val="decimal"/>
      <w:lvlText w:val="%1.%2.%3.%4.%5.%6.%7"/>
      <w:lvlJc w:val="left"/>
      <w:pPr>
        <w:tabs>
          <w:tab w:val="left" w:pos="4646"/>
        </w:tabs>
        <w:ind w:left="3402" w:hanging="1276"/>
      </w:pPr>
      <w:rPr>
        <w:rFonts w:hint="eastAsia"/>
      </w:rPr>
    </w:lvl>
    <w:lvl w:ilvl="7">
      <w:start w:val="1"/>
      <w:numFmt w:val="decimal"/>
      <w:lvlText w:val="%1.%2.%3.%4.%5.%6.%7.%8"/>
      <w:lvlJc w:val="left"/>
      <w:pPr>
        <w:tabs>
          <w:tab w:val="left" w:pos="5431"/>
        </w:tabs>
        <w:ind w:left="3969" w:hanging="1418"/>
      </w:pPr>
      <w:rPr>
        <w:rFonts w:hint="eastAsia"/>
      </w:rPr>
    </w:lvl>
    <w:lvl w:ilvl="8">
      <w:start w:val="1"/>
      <w:numFmt w:val="decimal"/>
      <w:lvlText w:val="%1.%2.%3.%4.%5.%6.%7.%8.%9"/>
      <w:lvlJc w:val="left"/>
      <w:pPr>
        <w:tabs>
          <w:tab w:val="left" w:pos="6217"/>
        </w:tabs>
        <w:ind w:left="4677" w:hanging="1700"/>
      </w:pPr>
      <w:rPr>
        <w:rFonts w:hint="eastAsia"/>
      </w:rPr>
    </w:lvl>
  </w:abstractNum>
  <w:abstractNum w:abstractNumId="16" w15:restartNumberingAfterBreak="0">
    <w:nsid w:val="646260FA"/>
    <w:multiLevelType w:val="multilevel"/>
    <w:tmpl w:val="646260FA"/>
    <w:lvl w:ilvl="0">
      <w:start w:val="1"/>
      <w:numFmt w:val="decimal"/>
      <w:pStyle w:val="af6"/>
      <w:suff w:val="nothing"/>
      <w:lvlText w:val="表%1　"/>
      <w:lvlJc w:val="left"/>
      <w:pPr>
        <w:ind w:left="3120" w:firstLine="0"/>
      </w:pPr>
      <w:rPr>
        <w:rFonts w:ascii="黑体" w:eastAsia="黑体" w:hAnsi="Times New Roman" w:hint="eastAsia"/>
        <w:b w:val="0"/>
        <w:i w:val="0"/>
        <w:sz w:val="21"/>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7" w15:restartNumberingAfterBreak="0">
    <w:nsid w:val="657D3FBC"/>
    <w:multiLevelType w:val="multilevel"/>
    <w:tmpl w:val="657D3FBC"/>
    <w:lvl w:ilvl="0">
      <w:start w:val="1"/>
      <w:numFmt w:val="upperLetter"/>
      <w:pStyle w:val="af7"/>
      <w:suff w:val="nothing"/>
      <w:lvlText w:val="附　录　%1"/>
      <w:lvlJc w:val="left"/>
      <w:pPr>
        <w:ind w:left="3544" w:firstLine="0"/>
      </w:pPr>
      <w:rPr>
        <w:rFonts w:ascii="黑体" w:eastAsia="黑体" w:hAnsi="Times New Roman" w:hint="eastAsia"/>
        <w:b w:val="0"/>
        <w:i w:val="0"/>
        <w:spacing w:val="0"/>
        <w:w w:val="100"/>
        <w:sz w:val="21"/>
      </w:rPr>
    </w:lvl>
    <w:lvl w:ilvl="1">
      <w:start w:val="1"/>
      <w:numFmt w:val="decimal"/>
      <w:pStyle w:val="af8"/>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f9"/>
      <w:suff w:val="nothing"/>
      <w:lvlText w:val="%1.%2.%3　"/>
      <w:lvlJc w:val="left"/>
      <w:pPr>
        <w:ind w:left="0" w:firstLine="0"/>
      </w:pPr>
      <w:rPr>
        <w:rFonts w:ascii="黑体" w:eastAsia="黑体" w:hAnsi="Times New Roman" w:hint="eastAsia"/>
        <w:b w:val="0"/>
        <w:i w:val="0"/>
        <w:sz w:val="21"/>
      </w:rPr>
    </w:lvl>
    <w:lvl w:ilvl="3">
      <w:start w:val="1"/>
      <w:numFmt w:val="decimal"/>
      <w:pStyle w:val="afa"/>
      <w:suff w:val="nothing"/>
      <w:lvlText w:val="%1.%2.%3.%4　"/>
      <w:lvlJc w:val="left"/>
      <w:pPr>
        <w:ind w:left="0" w:firstLine="0"/>
      </w:pPr>
      <w:rPr>
        <w:rFonts w:ascii="黑体" w:eastAsia="黑体" w:hAnsi="Times New Roman" w:hint="eastAsia"/>
        <w:b w:val="0"/>
        <w:i w:val="0"/>
        <w:sz w:val="21"/>
      </w:rPr>
    </w:lvl>
    <w:lvl w:ilvl="4">
      <w:start w:val="1"/>
      <w:numFmt w:val="decimal"/>
      <w:pStyle w:val="afb"/>
      <w:suff w:val="nothing"/>
      <w:lvlText w:val="%1.%2.%3.%4.%5　"/>
      <w:lvlJc w:val="left"/>
      <w:pPr>
        <w:ind w:left="0" w:firstLine="0"/>
      </w:pPr>
      <w:rPr>
        <w:rFonts w:ascii="黑体" w:eastAsia="黑体" w:hAnsi="Times New Roman" w:hint="eastAsia"/>
        <w:b w:val="0"/>
        <w:i w:val="0"/>
        <w:sz w:val="21"/>
      </w:rPr>
    </w:lvl>
    <w:lvl w:ilvl="5">
      <w:start w:val="1"/>
      <w:numFmt w:val="decimal"/>
      <w:pStyle w:val="afc"/>
      <w:suff w:val="nothing"/>
      <w:lvlText w:val="%1.%2.%3.%4.%5.%6　"/>
      <w:lvlJc w:val="left"/>
      <w:pPr>
        <w:ind w:left="0" w:firstLine="0"/>
      </w:pPr>
      <w:rPr>
        <w:rFonts w:ascii="黑体" w:eastAsia="黑体" w:hAnsi="Times New Roman" w:hint="eastAsia"/>
        <w:b w:val="0"/>
        <w:i w:val="0"/>
        <w:sz w:val="21"/>
      </w:rPr>
    </w:lvl>
    <w:lvl w:ilvl="6">
      <w:start w:val="1"/>
      <w:numFmt w:val="decimal"/>
      <w:pStyle w:val="afd"/>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8" w15:restartNumberingAfterBreak="0">
    <w:nsid w:val="6D6C07CD"/>
    <w:multiLevelType w:val="multilevel"/>
    <w:tmpl w:val="6D6C07CD"/>
    <w:lvl w:ilvl="0">
      <w:start w:val="1"/>
      <w:numFmt w:val="lowerLetter"/>
      <w:pStyle w:val="afe"/>
      <w:lvlText w:val="%1)"/>
      <w:lvlJc w:val="left"/>
      <w:pPr>
        <w:tabs>
          <w:tab w:val="left" w:pos="839"/>
        </w:tabs>
        <w:ind w:left="839" w:hanging="419"/>
      </w:pPr>
      <w:rPr>
        <w:rFonts w:ascii="宋体" w:eastAsia="宋体" w:hint="eastAsia"/>
        <w:b w:val="0"/>
        <w:i w:val="0"/>
        <w:sz w:val="21"/>
      </w:rPr>
    </w:lvl>
    <w:lvl w:ilvl="1">
      <w:start w:val="1"/>
      <w:numFmt w:val="decimal"/>
      <w:pStyle w:val="aff"/>
      <w:lvlText w:val="%2)"/>
      <w:lvlJc w:val="left"/>
      <w:pPr>
        <w:tabs>
          <w:tab w:val="left" w:pos="840"/>
        </w:tabs>
        <w:ind w:left="839" w:hanging="419"/>
      </w:pPr>
      <w:rPr>
        <w:rFonts w:ascii="宋体" w:eastAsia="宋体" w:hint="eastAsia"/>
        <w:b w:val="0"/>
        <w:i w:val="0"/>
        <w:sz w:val="21"/>
      </w:rPr>
    </w:lvl>
    <w:lvl w:ilvl="2">
      <w:start w:val="1"/>
      <w:numFmt w:val="lowerRoman"/>
      <w:lvlText w:val="%3."/>
      <w:lvlJc w:val="right"/>
      <w:pPr>
        <w:tabs>
          <w:tab w:val="left" w:pos="1260"/>
        </w:tabs>
        <w:ind w:left="1259" w:hanging="419"/>
      </w:pPr>
      <w:rPr>
        <w:rFonts w:hint="eastAsia"/>
      </w:rPr>
    </w:lvl>
    <w:lvl w:ilvl="3">
      <w:start w:val="1"/>
      <w:numFmt w:val="decimal"/>
      <w:lvlText w:val="%4."/>
      <w:lvlJc w:val="left"/>
      <w:pPr>
        <w:tabs>
          <w:tab w:val="left" w:pos="1680"/>
        </w:tabs>
        <w:ind w:left="1679" w:hanging="419"/>
      </w:pPr>
      <w:rPr>
        <w:rFonts w:hint="eastAsia"/>
      </w:rPr>
    </w:lvl>
    <w:lvl w:ilvl="4">
      <w:start w:val="1"/>
      <w:numFmt w:val="lowerLetter"/>
      <w:lvlText w:val="%5)"/>
      <w:lvlJc w:val="left"/>
      <w:pPr>
        <w:tabs>
          <w:tab w:val="left" w:pos="2100"/>
        </w:tabs>
        <w:ind w:left="2099" w:hanging="419"/>
      </w:pPr>
      <w:rPr>
        <w:rFonts w:hint="eastAsia"/>
      </w:rPr>
    </w:lvl>
    <w:lvl w:ilvl="5">
      <w:start w:val="1"/>
      <w:numFmt w:val="lowerRoman"/>
      <w:lvlText w:val="%6."/>
      <w:lvlJc w:val="right"/>
      <w:pPr>
        <w:tabs>
          <w:tab w:val="left" w:pos="2520"/>
        </w:tabs>
        <w:ind w:left="2519" w:hanging="419"/>
      </w:pPr>
      <w:rPr>
        <w:rFonts w:hint="eastAsia"/>
      </w:rPr>
    </w:lvl>
    <w:lvl w:ilvl="6">
      <w:start w:val="1"/>
      <w:numFmt w:val="decimal"/>
      <w:lvlText w:val="%7."/>
      <w:lvlJc w:val="left"/>
      <w:pPr>
        <w:tabs>
          <w:tab w:val="left" w:pos="2940"/>
        </w:tabs>
        <w:ind w:left="2939" w:hanging="419"/>
      </w:pPr>
      <w:rPr>
        <w:rFonts w:hint="eastAsia"/>
      </w:rPr>
    </w:lvl>
    <w:lvl w:ilvl="7">
      <w:start w:val="1"/>
      <w:numFmt w:val="lowerLetter"/>
      <w:lvlText w:val="%8)"/>
      <w:lvlJc w:val="left"/>
      <w:pPr>
        <w:tabs>
          <w:tab w:val="left" w:pos="3360"/>
        </w:tabs>
        <w:ind w:left="3359" w:hanging="419"/>
      </w:pPr>
      <w:rPr>
        <w:rFonts w:hint="eastAsia"/>
      </w:rPr>
    </w:lvl>
    <w:lvl w:ilvl="8">
      <w:start w:val="1"/>
      <w:numFmt w:val="lowerRoman"/>
      <w:lvlText w:val="%9."/>
      <w:lvlJc w:val="right"/>
      <w:pPr>
        <w:tabs>
          <w:tab w:val="left" w:pos="3780"/>
        </w:tabs>
        <w:ind w:left="3779" w:hanging="419"/>
      </w:pPr>
      <w:rPr>
        <w:rFonts w:hint="eastAsia"/>
      </w:rPr>
    </w:lvl>
  </w:abstractNum>
  <w:abstractNum w:abstractNumId="19" w15:restartNumberingAfterBreak="0">
    <w:nsid w:val="6DBF04F4"/>
    <w:multiLevelType w:val="multilevel"/>
    <w:tmpl w:val="6DBF04F4"/>
    <w:lvl w:ilvl="0">
      <w:start w:val="1"/>
      <w:numFmt w:val="none"/>
      <w:pStyle w:val="aff0"/>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left" w:pos="1140"/>
        </w:tabs>
        <w:ind w:left="726" w:hanging="363"/>
      </w:pPr>
      <w:rPr>
        <w:rFonts w:hint="eastAsia"/>
      </w:rPr>
    </w:lvl>
    <w:lvl w:ilvl="2">
      <w:start w:val="1"/>
      <w:numFmt w:val="lowerRoman"/>
      <w:lvlText w:val="%3."/>
      <w:lvlJc w:val="right"/>
      <w:pPr>
        <w:tabs>
          <w:tab w:val="left" w:pos="1140"/>
        </w:tabs>
        <w:ind w:left="726" w:hanging="363"/>
      </w:pPr>
      <w:rPr>
        <w:rFonts w:hint="eastAsia"/>
      </w:rPr>
    </w:lvl>
    <w:lvl w:ilvl="3">
      <w:start w:val="1"/>
      <w:numFmt w:val="decimal"/>
      <w:lvlText w:val="%4."/>
      <w:lvlJc w:val="left"/>
      <w:pPr>
        <w:tabs>
          <w:tab w:val="left" w:pos="1140"/>
        </w:tabs>
        <w:ind w:left="726" w:hanging="363"/>
      </w:pPr>
      <w:rPr>
        <w:rFonts w:hint="eastAsia"/>
      </w:rPr>
    </w:lvl>
    <w:lvl w:ilvl="4">
      <w:start w:val="1"/>
      <w:numFmt w:val="lowerLetter"/>
      <w:lvlText w:val="%5)"/>
      <w:lvlJc w:val="left"/>
      <w:pPr>
        <w:tabs>
          <w:tab w:val="left" w:pos="1140"/>
        </w:tabs>
        <w:ind w:left="726" w:hanging="363"/>
      </w:pPr>
      <w:rPr>
        <w:rFonts w:hint="eastAsia"/>
      </w:rPr>
    </w:lvl>
    <w:lvl w:ilvl="5">
      <w:start w:val="1"/>
      <w:numFmt w:val="lowerRoman"/>
      <w:lvlText w:val="%6."/>
      <w:lvlJc w:val="right"/>
      <w:pPr>
        <w:tabs>
          <w:tab w:val="left" w:pos="1140"/>
        </w:tabs>
        <w:ind w:left="726" w:hanging="363"/>
      </w:pPr>
      <w:rPr>
        <w:rFonts w:hint="eastAsia"/>
      </w:rPr>
    </w:lvl>
    <w:lvl w:ilvl="6">
      <w:start w:val="1"/>
      <w:numFmt w:val="decimal"/>
      <w:lvlText w:val="%7."/>
      <w:lvlJc w:val="left"/>
      <w:pPr>
        <w:tabs>
          <w:tab w:val="left" w:pos="1140"/>
        </w:tabs>
        <w:ind w:left="726" w:hanging="363"/>
      </w:pPr>
      <w:rPr>
        <w:rFonts w:hint="eastAsia"/>
      </w:rPr>
    </w:lvl>
    <w:lvl w:ilvl="7">
      <w:start w:val="1"/>
      <w:numFmt w:val="lowerLetter"/>
      <w:lvlText w:val="%8)"/>
      <w:lvlJc w:val="left"/>
      <w:pPr>
        <w:tabs>
          <w:tab w:val="left" w:pos="1140"/>
        </w:tabs>
        <w:ind w:left="726" w:hanging="363"/>
      </w:pPr>
      <w:rPr>
        <w:rFonts w:hint="eastAsia"/>
      </w:rPr>
    </w:lvl>
    <w:lvl w:ilvl="8">
      <w:start w:val="1"/>
      <w:numFmt w:val="lowerRoman"/>
      <w:lvlText w:val="%9."/>
      <w:lvlJc w:val="right"/>
      <w:pPr>
        <w:tabs>
          <w:tab w:val="left" w:pos="1140"/>
        </w:tabs>
        <w:ind w:left="726" w:hanging="363"/>
      </w:pPr>
      <w:rPr>
        <w:rFonts w:hint="eastAsia"/>
      </w:rPr>
    </w:lvl>
  </w:abstractNum>
  <w:num w:numId="1">
    <w:abstractNumId w:val="11"/>
  </w:num>
  <w:num w:numId="2">
    <w:abstractNumId w:val="17"/>
  </w:num>
  <w:num w:numId="3">
    <w:abstractNumId w:val="18"/>
  </w:num>
  <w:num w:numId="4">
    <w:abstractNumId w:val="9"/>
  </w:num>
  <w:num w:numId="5">
    <w:abstractNumId w:val="0"/>
  </w:num>
  <w:num w:numId="6">
    <w:abstractNumId w:val="7"/>
  </w:num>
  <w:num w:numId="7">
    <w:abstractNumId w:val="10"/>
  </w:num>
  <w:num w:numId="8">
    <w:abstractNumId w:val="13"/>
  </w:num>
  <w:num w:numId="9">
    <w:abstractNumId w:val="15"/>
  </w:num>
  <w:num w:numId="10">
    <w:abstractNumId w:val="16"/>
  </w:num>
  <w:num w:numId="11">
    <w:abstractNumId w:val="4"/>
  </w:num>
  <w:num w:numId="12">
    <w:abstractNumId w:val="19"/>
  </w:num>
  <w:num w:numId="13">
    <w:abstractNumId w:val="6"/>
  </w:num>
  <w:num w:numId="14">
    <w:abstractNumId w:val="8"/>
  </w:num>
  <w:num w:numId="15">
    <w:abstractNumId w:val="12"/>
  </w:num>
  <w:num w:numId="16">
    <w:abstractNumId w:val="3"/>
  </w:num>
  <w:num w:numId="17">
    <w:abstractNumId w:val="5"/>
  </w:num>
  <w:num w:numId="18">
    <w:abstractNumId w:val="2"/>
  </w:num>
  <w:num w:numId="19">
    <w:abstractNumId w:val="1"/>
  </w:num>
  <w:num w:numId="20">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activeWritingStyle w:appName="MSWord" w:lang="en-US" w:vendorID="64" w:dllVersion="131078" w:nlCheck="1" w:checkStyle="0"/>
  <w:activeWritingStyle w:appName="MSWord" w:lang="zh-CN" w:vendorID="64" w:dllVersion="131077" w:nlCheck="1" w:checkStyle="1"/>
  <w:documentProtection w:edit="forms" w:enforcement="0"/>
  <w:defaultTabStop w:val="420"/>
  <w:evenAndOddHeaders/>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wYjdlMWQwMTgzN2E2OWJjYWU3YzczNGUzYmRiY2EifQ=="/>
  </w:docVars>
  <w:rsids>
    <w:rsidRoot w:val="00172A27"/>
    <w:rsid w:val="FFFB562A"/>
    <w:rsid w:val="00000244"/>
    <w:rsid w:val="000014A2"/>
    <w:rsid w:val="0000185F"/>
    <w:rsid w:val="0000586F"/>
    <w:rsid w:val="00006382"/>
    <w:rsid w:val="00007648"/>
    <w:rsid w:val="00010B04"/>
    <w:rsid w:val="00011BD4"/>
    <w:rsid w:val="00011CC3"/>
    <w:rsid w:val="00013D86"/>
    <w:rsid w:val="00013E02"/>
    <w:rsid w:val="0001676A"/>
    <w:rsid w:val="000168B9"/>
    <w:rsid w:val="00016FE2"/>
    <w:rsid w:val="000175E5"/>
    <w:rsid w:val="00017636"/>
    <w:rsid w:val="0002143C"/>
    <w:rsid w:val="00022C71"/>
    <w:rsid w:val="00023F1E"/>
    <w:rsid w:val="00024B9F"/>
    <w:rsid w:val="000250B1"/>
    <w:rsid w:val="00025A65"/>
    <w:rsid w:val="00026C31"/>
    <w:rsid w:val="00027280"/>
    <w:rsid w:val="00027D76"/>
    <w:rsid w:val="0003164F"/>
    <w:rsid w:val="00031BB7"/>
    <w:rsid w:val="000320A7"/>
    <w:rsid w:val="0003286D"/>
    <w:rsid w:val="00032ACB"/>
    <w:rsid w:val="000337A7"/>
    <w:rsid w:val="00034B03"/>
    <w:rsid w:val="00035925"/>
    <w:rsid w:val="00036370"/>
    <w:rsid w:val="000409ED"/>
    <w:rsid w:val="00041B95"/>
    <w:rsid w:val="00042D95"/>
    <w:rsid w:val="00043662"/>
    <w:rsid w:val="000438EB"/>
    <w:rsid w:val="00045FC7"/>
    <w:rsid w:val="000468A8"/>
    <w:rsid w:val="000476A3"/>
    <w:rsid w:val="000476A7"/>
    <w:rsid w:val="00047FB4"/>
    <w:rsid w:val="0005279A"/>
    <w:rsid w:val="00053910"/>
    <w:rsid w:val="00054849"/>
    <w:rsid w:val="00055C07"/>
    <w:rsid w:val="0005713C"/>
    <w:rsid w:val="000633C0"/>
    <w:rsid w:val="000656E9"/>
    <w:rsid w:val="000657E8"/>
    <w:rsid w:val="00065EB6"/>
    <w:rsid w:val="00067CDF"/>
    <w:rsid w:val="00070AD6"/>
    <w:rsid w:val="00071459"/>
    <w:rsid w:val="00072758"/>
    <w:rsid w:val="00072ECE"/>
    <w:rsid w:val="00074FBE"/>
    <w:rsid w:val="00075416"/>
    <w:rsid w:val="000779CE"/>
    <w:rsid w:val="00081205"/>
    <w:rsid w:val="00083A09"/>
    <w:rsid w:val="00085053"/>
    <w:rsid w:val="00085AFF"/>
    <w:rsid w:val="000860C4"/>
    <w:rsid w:val="00086AA0"/>
    <w:rsid w:val="00086E5C"/>
    <w:rsid w:val="0009005E"/>
    <w:rsid w:val="00090477"/>
    <w:rsid w:val="00092857"/>
    <w:rsid w:val="00093858"/>
    <w:rsid w:val="00094736"/>
    <w:rsid w:val="000947A2"/>
    <w:rsid w:val="000951AC"/>
    <w:rsid w:val="00097AEE"/>
    <w:rsid w:val="000A0471"/>
    <w:rsid w:val="000A20A9"/>
    <w:rsid w:val="000A3DBE"/>
    <w:rsid w:val="000A48B1"/>
    <w:rsid w:val="000A5116"/>
    <w:rsid w:val="000A6FA1"/>
    <w:rsid w:val="000B1505"/>
    <w:rsid w:val="000B1CD2"/>
    <w:rsid w:val="000B3143"/>
    <w:rsid w:val="000B544E"/>
    <w:rsid w:val="000B68B7"/>
    <w:rsid w:val="000B6AA6"/>
    <w:rsid w:val="000B79CA"/>
    <w:rsid w:val="000C23A5"/>
    <w:rsid w:val="000C3189"/>
    <w:rsid w:val="000C34B6"/>
    <w:rsid w:val="000C6B05"/>
    <w:rsid w:val="000C6D91"/>
    <w:rsid w:val="000C6DD6"/>
    <w:rsid w:val="000C73D4"/>
    <w:rsid w:val="000C7575"/>
    <w:rsid w:val="000D0946"/>
    <w:rsid w:val="000D0FA9"/>
    <w:rsid w:val="000D2CF3"/>
    <w:rsid w:val="000D306D"/>
    <w:rsid w:val="000D3247"/>
    <w:rsid w:val="000D3D4C"/>
    <w:rsid w:val="000D4F51"/>
    <w:rsid w:val="000D6E84"/>
    <w:rsid w:val="000D718B"/>
    <w:rsid w:val="000E04D2"/>
    <w:rsid w:val="000E0951"/>
    <w:rsid w:val="000E0C46"/>
    <w:rsid w:val="000E4055"/>
    <w:rsid w:val="000E41DB"/>
    <w:rsid w:val="000E4D01"/>
    <w:rsid w:val="000E4FA8"/>
    <w:rsid w:val="000F030C"/>
    <w:rsid w:val="000F0CBA"/>
    <w:rsid w:val="000F129C"/>
    <w:rsid w:val="000F1837"/>
    <w:rsid w:val="000F1CA4"/>
    <w:rsid w:val="000F3437"/>
    <w:rsid w:val="000F4D57"/>
    <w:rsid w:val="000F5184"/>
    <w:rsid w:val="000F62AC"/>
    <w:rsid w:val="000F7B24"/>
    <w:rsid w:val="0010040D"/>
    <w:rsid w:val="00105669"/>
    <w:rsid w:val="001056DE"/>
    <w:rsid w:val="00111DC1"/>
    <w:rsid w:val="0011224A"/>
    <w:rsid w:val="001124C0"/>
    <w:rsid w:val="00112794"/>
    <w:rsid w:val="00120B46"/>
    <w:rsid w:val="001268EC"/>
    <w:rsid w:val="00127777"/>
    <w:rsid w:val="0013046D"/>
    <w:rsid w:val="00130D62"/>
    <w:rsid w:val="0013175F"/>
    <w:rsid w:val="00132973"/>
    <w:rsid w:val="00132B9D"/>
    <w:rsid w:val="001379B4"/>
    <w:rsid w:val="00141FC6"/>
    <w:rsid w:val="00142DCB"/>
    <w:rsid w:val="00144CD4"/>
    <w:rsid w:val="00144D34"/>
    <w:rsid w:val="001451A5"/>
    <w:rsid w:val="00146EF9"/>
    <w:rsid w:val="001508EC"/>
    <w:rsid w:val="001512B4"/>
    <w:rsid w:val="001515C4"/>
    <w:rsid w:val="00151A41"/>
    <w:rsid w:val="001558D8"/>
    <w:rsid w:val="00155C6E"/>
    <w:rsid w:val="001575C2"/>
    <w:rsid w:val="00160C2D"/>
    <w:rsid w:val="00160DA6"/>
    <w:rsid w:val="00161B7F"/>
    <w:rsid w:val="001620A5"/>
    <w:rsid w:val="00162758"/>
    <w:rsid w:val="00162881"/>
    <w:rsid w:val="00163D0F"/>
    <w:rsid w:val="00163E80"/>
    <w:rsid w:val="00163FC5"/>
    <w:rsid w:val="00164DF2"/>
    <w:rsid w:val="00164E53"/>
    <w:rsid w:val="00164EE5"/>
    <w:rsid w:val="00165410"/>
    <w:rsid w:val="0016699D"/>
    <w:rsid w:val="0016774B"/>
    <w:rsid w:val="00171F3F"/>
    <w:rsid w:val="00172A27"/>
    <w:rsid w:val="00174378"/>
    <w:rsid w:val="00175159"/>
    <w:rsid w:val="00175CCA"/>
    <w:rsid w:val="00176208"/>
    <w:rsid w:val="001803B9"/>
    <w:rsid w:val="00181F14"/>
    <w:rsid w:val="0018211B"/>
    <w:rsid w:val="001823A0"/>
    <w:rsid w:val="00183ED9"/>
    <w:rsid w:val="001840D3"/>
    <w:rsid w:val="001842E3"/>
    <w:rsid w:val="0018592F"/>
    <w:rsid w:val="001862BE"/>
    <w:rsid w:val="0018796F"/>
    <w:rsid w:val="001900F8"/>
    <w:rsid w:val="001903CE"/>
    <w:rsid w:val="00190EAD"/>
    <w:rsid w:val="00191258"/>
    <w:rsid w:val="001920C9"/>
    <w:rsid w:val="00192680"/>
    <w:rsid w:val="00193037"/>
    <w:rsid w:val="00193A2C"/>
    <w:rsid w:val="00193CB3"/>
    <w:rsid w:val="001973CF"/>
    <w:rsid w:val="001A1C40"/>
    <w:rsid w:val="001A288E"/>
    <w:rsid w:val="001A2AE3"/>
    <w:rsid w:val="001A3F58"/>
    <w:rsid w:val="001A5112"/>
    <w:rsid w:val="001A5296"/>
    <w:rsid w:val="001B033A"/>
    <w:rsid w:val="001B03ED"/>
    <w:rsid w:val="001B140D"/>
    <w:rsid w:val="001B2DDB"/>
    <w:rsid w:val="001B300C"/>
    <w:rsid w:val="001B3BA7"/>
    <w:rsid w:val="001B409B"/>
    <w:rsid w:val="001B4CF7"/>
    <w:rsid w:val="001B4F2F"/>
    <w:rsid w:val="001B5CFA"/>
    <w:rsid w:val="001B6DC2"/>
    <w:rsid w:val="001C149C"/>
    <w:rsid w:val="001C1C24"/>
    <w:rsid w:val="001C21AC"/>
    <w:rsid w:val="001C2ADF"/>
    <w:rsid w:val="001C4026"/>
    <w:rsid w:val="001C4054"/>
    <w:rsid w:val="001C47BA"/>
    <w:rsid w:val="001C59EA"/>
    <w:rsid w:val="001C5E13"/>
    <w:rsid w:val="001C5E5A"/>
    <w:rsid w:val="001C5F84"/>
    <w:rsid w:val="001D16BA"/>
    <w:rsid w:val="001D2682"/>
    <w:rsid w:val="001D406C"/>
    <w:rsid w:val="001D41EE"/>
    <w:rsid w:val="001D465E"/>
    <w:rsid w:val="001D4AF3"/>
    <w:rsid w:val="001D569E"/>
    <w:rsid w:val="001D59B6"/>
    <w:rsid w:val="001D78E1"/>
    <w:rsid w:val="001E0380"/>
    <w:rsid w:val="001E0FF3"/>
    <w:rsid w:val="001E13B1"/>
    <w:rsid w:val="001E3C35"/>
    <w:rsid w:val="001E7872"/>
    <w:rsid w:val="001E7D78"/>
    <w:rsid w:val="001E7F61"/>
    <w:rsid w:val="001F0617"/>
    <w:rsid w:val="001F1217"/>
    <w:rsid w:val="001F1E6D"/>
    <w:rsid w:val="001F3A19"/>
    <w:rsid w:val="001F4564"/>
    <w:rsid w:val="001F67E1"/>
    <w:rsid w:val="001F755B"/>
    <w:rsid w:val="001F7E82"/>
    <w:rsid w:val="002005A9"/>
    <w:rsid w:val="00200CD5"/>
    <w:rsid w:val="00201B5A"/>
    <w:rsid w:val="00203F98"/>
    <w:rsid w:val="00204616"/>
    <w:rsid w:val="0020573D"/>
    <w:rsid w:val="0021082D"/>
    <w:rsid w:val="00210E80"/>
    <w:rsid w:val="00211C6A"/>
    <w:rsid w:val="00211CAF"/>
    <w:rsid w:val="00214010"/>
    <w:rsid w:val="00215FBE"/>
    <w:rsid w:val="00217E9F"/>
    <w:rsid w:val="00221162"/>
    <w:rsid w:val="002215E5"/>
    <w:rsid w:val="0022194C"/>
    <w:rsid w:val="00223678"/>
    <w:rsid w:val="002247E5"/>
    <w:rsid w:val="00224C7A"/>
    <w:rsid w:val="00224CE6"/>
    <w:rsid w:val="002250D0"/>
    <w:rsid w:val="00227261"/>
    <w:rsid w:val="00227773"/>
    <w:rsid w:val="0023003E"/>
    <w:rsid w:val="00234467"/>
    <w:rsid w:val="0023453F"/>
    <w:rsid w:val="00237373"/>
    <w:rsid w:val="00237A99"/>
    <w:rsid w:val="00237D8D"/>
    <w:rsid w:val="00241DA2"/>
    <w:rsid w:val="00243E78"/>
    <w:rsid w:val="00243FBD"/>
    <w:rsid w:val="00243FF7"/>
    <w:rsid w:val="0024416F"/>
    <w:rsid w:val="00245241"/>
    <w:rsid w:val="00246171"/>
    <w:rsid w:val="00247284"/>
    <w:rsid w:val="0024729A"/>
    <w:rsid w:val="0024743D"/>
    <w:rsid w:val="00247FEE"/>
    <w:rsid w:val="00250A55"/>
    <w:rsid w:val="00250E7D"/>
    <w:rsid w:val="0025333F"/>
    <w:rsid w:val="00253662"/>
    <w:rsid w:val="002542DD"/>
    <w:rsid w:val="0025438B"/>
    <w:rsid w:val="002565D5"/>
    <w:rsid w:val="0026138E"/>
    <w:rsid w:val="002622C0"/>
    <w:rsid w:val="00262BF0"/>
    <w:rsid w:val="00262EF1"/>
    <w:rsid w:val="00263067"/>
    <w:rsid w:val="00263F5D"/>
    <w:rsid w:val="002666DE"/>
    <w:rsid w:val="00267B75"/>
    <w:rsid w:val="002708B9"/>
    <w:rsid w:val="00270BA4"/>
    <w:rsid w:val="00271BCC"/>
    <w:rsid w:val="00272904"/>
    <w:rsid w:val="00272B6B"/>
    <w:rsid w:val="00272CB7"/>
    <w:rsid w:val="00273151"/>
    <w:rsid w:val="00273ADA"/>
    <w:rsid w:val="002768AD"/>
    <w:rsid w:val="002778AE"/>
    <w:rsid w:val="00280B13"/>
    <w:rsid w:val="00281954"/>
    <w:rsid w:val="00281E0C"/>
    <w:rsid w:val="0028240D"/>
    <w:rsid w:val="0028269A"/>
    <w:rsid w:val="00283590"/>
    <w:rsid w:val="00286973"/>
    <w:rsid w:val="00292AD7"/>
    <w:rsid w:val="0029334F"/>
    <w:rsid w:val="002940DE"/>
    <w:rsid w:val="00294E70"/>
    <w:rsid w:val="00295B9A"/>
    <w:rsid w:val="002962A5"/>
    <w:rsid w:val="002A0638"/>
    <w:rsid w:val="002A1924"/>
    <w:rsid w:val="002A1C7E"/>
    <w:rsid w:val="002A1ECF"/>
    <w:rsid w:val="002A2626"/>
    <w:rsid w:val="002A2CD5"/>
    <w:rsid w:val="002A4E48"/>
    <w:rsid w:val="002A52EC"/>
    <w:rsid w:val="002A64FD"/>
    <w:rsid w:val="002A7420"/>
    <w:rsid w:val="002B0F12"/>
    <w:rsid w:val="002B0F5C"/>
    <w:rsid w:val="002B1308"/>
    <w:rsid w:val="002B1E29"/>
    <w:rsid w:val="002B4554"/>
    <w:rsid w:val="002B5399"/>
    <w:rsid w:val="002B79E9"/>
    <w:rsid w:val="002C0DFF"/>
    <w:rsid w:val="002C0E68"/>
    <w:rsid w:val="002C1D84"/>
    <w:rsid w:val="002C25C0"/>
    <w:rsid w:val="002C72D8"/>
    <w:rsid w:val="002D11FA"/>
    <w:rsid w:val="002D134F"/>
    <w:rsid w:val="002D17C1"/>
    <w:rsid w:val="002D3406"/>
    <w:rsid w:val="002D5C49"/>
    <w:rsid w:val="002D7165"/>
    <w:rsid w:val="002E05AE"/>
    <w:rsid w:val="002E0DDF"/>
    <w:rsid w:val="002E2906"/>
    <w:rsid w:val="002E2B63"/>
    <w:rsid w:val="002E363B"/>
    <w:rsid w:val="002E5130"/>
    <w:rsid w:val="002E5635"/>
    <w:rsid w:val="002E64C3"/>
    <w:rsid w:val="002E6A2C"/>
    <w:rsid w:val="002F1D8C"/>
    <w:rsid w:val="002F21DA"/>
    <w:rsid w:val="002F4EFB"/>
    <w:rsid w:val="002F5DE3"/>
    <w:rsid w:val="002F61D7"/>
    <w:rsid w:val="00301F39"/>
    <w:rsid w:val="00310FEB"/>
    <w:rsid w:val="0031151F"/>
    <w:rsid w:val="0031327F"/>
    <w:rsid w:val="00314676"/>
    <w:rsid w:val="00314772"/>
    <w:rsid w:val="0031644F"/>
    <w:rsid w:val="00321146"/>
    <w:rsid w:val="003219A2"/>
    <w:rsid w:val="003221F1"/>
    <w:rsid w:val="00323FA8"/>
    <w:rsid w:val="003255C3"/>
    <w:rsid w:val="00325926"/>
    <w:rsid w:val="0032606D"/>
    <w:rsid w:val="00327A8A"/>
    <w:rsid w:val="00331897"/>
    <w:rsid w:val="00331D5C"/>
    <w:rsid w:val="003329D4"/>
    <w:rsid w:val="00332E0D"/>
    <w:rsid w:val="003339C4"/>
    <w:rsid w:val="00336610"/>
    <w:rsid w:val="003370A1"/>
    <w:rsid w:val="00340435"/>
    <w:rsid w:val="003412A7"/>
    <w:rsid w:val="00342D24"/>
    <w:rsid w:val="00343F73"/>
    <w:rsid w:val="003449A4"/>
    <w:rsid w:val="00345060"/>
    <w:rsid w:val="00346B85"/>
    <w:rsid w:val="003515E0"/>
    <w:rsid w:val="0035323B"/>
    <w:rsid w:val="00353659"/>
    <w:rsid w:val="00354593"/>
    <w:rsid w:val="00356DE8"/>
    <w:rsid w:val="0035720D"/>
    <w:rsid w:val="003609D2"/>
    <w:rsid w:val="003614E4"/>
    <w:rsid w:val="00361593"/>
    <w:rsid w:val="00363EE5"/>
    <w:rsid w:val="00363F22"/>
    <w:rsid w:val="00366B79"/>
    <w:rsid w:val="00367045"/>
    <w:rsid w:val="003675BF"/>
    <w:rsid w:val="0037054C"/>
    <w:rsid w:val="00371D3A"/>
    <w:rsid w:val="00375564"/>
    <w:rsid w:val="003756C2"/>
    <w:rsid w:val="00376987"/>
    <w:rsid w:val="0037719C"/>
    <w:rsid w:val="00380245"/>
    <w:rsid w:val="00380721"/>
    <w:rsid w:val="0038073F"/>
    <w:rsid w:val="00380802"/>
    <w:rsid w:val="00383191"/>
    <w:rsid w:val="0038329C"/>
    <w:rsid w:val="00383B4F"/>
    <w:rsid w:val="00386DCD"/>
    <w:rsid w:val="00386DED"/>
    <w:rsid w:val="003906AF"/>
    <w:rsid w:val="003912E7"/>
    <w:rsid w:val="00391F01"/>
    <w:rsid w:val="003933A6"/>
    <w:rsid w:val="0039343F"/>
    <w:rsid w:val="00393947"/>
    <w:rsid w:val="003942E7"/>
    <w:rsid w:val="00394732"/>
    <w:rsid w:val="00396FF8"/>
    <w:rsid w:val="003A0AAC"/>
    <w:rsid w:val="003A158B"/>
    <w:rsid w:val="003A19E0"/>
    <w:rsid w:val="003A2275"/>
    <w:rsid w:val="003A40CB"/>
    <w:rsid w:val="003A4E25"/>
    <w:rsid w:val="003A5070"/>
    <w:rsid w:val="003A6A4F"/>
    <w:rsid w:val="003A7088"/>
    <w:rsid w:val="003B00DF"/>
    <w:rsid w:val="003B11FF"/>
    <w:rsid w:val="003B1275"/>
    <w:rsid w:val="003B1778"/>
    <w:rsid w:val="003B1D45"/>
    <w:rsid w:val="003B275A"/>
    <w:rsid w:val="003C0015"/>
    <w:rsid w:val="003C03DC"/>
    <w:rsid w:val="003C11CB"/>
    <w:rsid w:val="003C44B2"/>
    <w:rsid w:val="003C510C"/>
    <w:rsid w:val="003C75F3"/>
    <w:rsid w:val="003C78A3"/>
    <w:rsid w:val="003D24AD"/>
    <w:rsid w:val="003D430A"/>
    <w:rsid w:val="003D54C6"/>
    <w:rsid w:val="003D6FDD"/>
    <w:rsid w:val="003D7347"/>
    <w:rsid w:val="003D73FD"/>
    <w:rsid w:val="003D7B8A"/>
    <w:rsid w:val="003E1368"/>
    <w:rsid w:val="003E1867"/>
    <w:rsid w:val="003E5729"/>
    <w:rsid w:val="003E5DA5"/>
    <w:rsid w:val="003E6E1F"/>
    <w:rsid w:val="003E7972"/>
    <w:rsid w:val="003F0BF5"/>
    <w:rsid w:val="003F133D"/>
    <w:rsid w:val="003F2BB8"/>
    <w:rsid w:val="003F4EE0"/>
    <w:rsid w:val="003F52CD"/>
    <w:rsid w:val="003F716B"/>
    <w:rsid w:val="00400C0C"/>
    <w:rsid w:val="00402153"/>
    <w:rsid w:val="00402C8F"/>
    <w:rsid w:val="00402FC1"/>
    <w:rsid w:val="00406A64"/>
    <w:rsid w:val="00413019"/>
    <w:rsid w:val="004134C6"/>
    <w:rsid w:val="004139C6"/>
    <w:rsid w:val="004140D3"/>
    <w:rsid w:val="004143B5"/>
    <w:rsid w:val="00414878"/>
    <w:rsid w:val="00414CFE"/>
    <w:rsid w:val="00417C89"/>
    <w:rsid w:val="004209BF"/>
    <w:rsid w:val="00420F4E"/>
    <w:rsid w:val="00423107"/>
    <w:rsid w:val="00423174"/>
    <w:rsid w:val="00423D76"/>
    <w:rsid w:val="00424F0D"/>
    <w:rsid w:val="00425082"/>
    <w:rsid w:val="004255E0"/>
    <w:rsid w:val="0043127E"/>
    <w:rsid w:val="00431DEB"/>
    <w:rsid w:val="004340E5"/>
    <w:rsid w:val="00435E63"/>
    <w:rsid w:val="0043783F"/>
    <w:rsid w:val="00440F44"/>
    <w:rsid w:val="0044109C"/>
    <w:rsid w:val="00441DD6"/>
    <w:rsid w:val="00441FEC"/>
    <w:rsid w:val="00442E55"/>
    <w:rsid w:val="0044333D"/>
    <w:rsid w:val="00443AC8"/>
    <w:rsid w:val="00445580"/>
    <w:rsid w:val="00445EF8"/>
    <w:rsid w:val="00446366"/>
    <w:rsid w:val="00446828"/>
    <w:rsid w:val="00446B29"/>
    <w:rsid w:val="00447539"/>
    <w:rsid w:val="0044767F"/>
    <w:rsid w:val="004479FC"/>
    <w:rsid w:val="00447F47"/>
    <w:rsid w:val="00451E78"/>
    <w:rsid w:val="00452A40"/>
    <w:rsid w:val="00453F9A"/>
    <w:rsid w:val="00454197"/>
    <w:rsid w:val="00455FA9"/>
    <w:rsid w:val="00456036"/>
    <w:rsid w:val="00456177"/>
    <w:rsid w:val="00457D5D"/>
    <w:rsid w:val="00457EFE"/>
    <w:rsid w:val="004612B2"/>
    <w:rsid w:val="00461471"/>
    <w:rsid w:val="00461F0E"/>
    <w:rsid w:val="00461F4B"/>
    <w:rsid w:val="004631D4"/>
    <w:rsid w:val="00463311"/>
    <w:rsid w:val="00464DA9"/>
    <w:rsid w:val="00464E28"/>
    <w:rsid w:val="00467858"/>
    <w:rsid w:val="00470EFA"/>
    <w:rsid w:val="0047191B"/>
    <w:rsid w:val="00471E91"/>
    <w:rsid w:val="004729B2"/>
    <w:rsid w:val="004730C2"/>
    <w:rsid w:val="00473EB7"/>
    <w:rsid w:val="00474675"/>
    <w:rsid w:val="0047470C"/>
    <w:rsid w:val="004758EB"/>
    <w:rsid w:val="00475B86"/>
    <w:rsid w:val="004768F6"/>
    <w:rsid w:val="00481D01"/>
    <w:rsid w:val="00484630"/>
    <w:rsid w:val="00484F78"/>
    <w:rsid w:val="004850CF"/>
    <w:rsid w:val="00491DA1"/>
    <w:rsid w:val="004977E1"/>
    <w:rsid w:val="004A0A41"/>
    <w:rsid w:val="004A1908"/>
    <w:rsid w:val="004A2AB9"/>
    <w:rsid w:val="004A35F9"/>
    <w:rsid w:val="004A4322"/>
    <w:rsid w:val="004A490B"/>
    <w:rsid w:val="004B0021"/>
    <w:rsid w:val="004B1740"/>
    <w:rsid w:val="004B1B5A"/>
    <w:rsid w:val="004B1B60"/>
    <w:rsid w:val="004B1F1C"/>
    <w:rsid w:val="004B220F"/>
    <w:rsid w:val="004B24C1"/>
    <w:rsid w:val="004B4A72"/>
    <w:rsid w:val="004B5F5D"/>
    <w:rsid w:val="004B7667"/>
    <w:rsid w:val="004B7783"/>
    <w:rsid w:val="004C292F"/>
    <w:rsid w:val="004C2EC5"/>
    <w:rsid w:val="004C6402"/>
    <w:rsid w:val="004C6AD0"/>
    <w:rsid w:val="004D070F"/>
    <w:rsid w:val="004D0C98"/>
    <w:rsid w:val="004D136C"/>
    <w:rsid w:val="004D13ED"/>
    <w:rsid w:val="004D3135"/>
    <w:rsid w:val="004D67AC"/>
    <w:rsid w:val="004E3E29"/>
    <w:rsid w:val="004E4192"/>
    <w:rsid w:val="004E4600"/>
    <w:rsid w:val="004E4CF3"/>
    <w:rsid w:val="004F28B6"/>
    <w:rsid w:val="004F3E6A"/>
    <w:rsid w:val="004F6BA3"/>
    <w:rsid w:val="004F6CBE"/>
    <w:rsid w:val="004F7511"/>
    <w:rsid w:val="005016E1"/>
    <w:rsid w:val="00501E62"/>
    <w:rsid w:val="005055DA"/>
    <w:rsid w:val="005067C4"/>
    <w:rsid w:val="00506C56"/>
    <w:rsid w:val="00507141"/>
    <w:rsid w:val="00510280"/>
    <w:rsid w:val="00510ED6"/>
    <w:rsid w:val="00511A0D"/>
    <w:rsid w:val="00513093"/>
    <w:rsid w:val="00513D73"/>
    <w:rsid w:val="00514A43"/>
    <w:rsid w:val="005152AC"/>
    <w:rsid w:val="00515ADC"/>
    <w:rsid w:val="00516EAC"/>
    <w:rsid w:val="005174E5"/>
    <w:rsid w:val="00520FDF"/>
    <w:rsid w:val="00522393"/>
    <w:rsid w:val="00522620"/>
    <w:rsid w:val="005244C8"/>
    <w:rsid w:val="00525656"/>
    <w:rsid w:val="005256A4"/>
    <w:rsid w:val="00527012"/>
    <w:rsid w:val="00532C14"/>
    <w:rsid w:val="00533173"/>
    <w:rsid w:val="00534C02"/>
    <w:rsid w:val="00537D5F"/>
    <w:rsid w:val="00537F13"/>
    <w:rsid w:val="005422D6"/>
    <w:rsid w:val="0054264B"/>
    <w:rsid w:val="00543786"/>
    <w:rsid w:val="00543A7C"/>
    <w:rsid w:val="005504AA"/>
    <w:rsid w:val="00550D19"/>
    <w:rsid w:val="005533D7"/>
    <w:rsid w:val="00554989"/>
    <w:rsid w:val="00560DD5"/>
    <w:rsid w:val="00562DBE"/>
    <w:rsid w:val="0056375E"/>
    <w:rsid w:val="00563DB0"/>
    <w:rsid w:val="00564883"/>
    <w:rsid w:val="0056535C"/>
    <w:rsid w:val="005703DE"/>
    <w:rsid w:val="00571879"/>
    <w:rsid w:val="00571ECF"/>
    <w:rsid w:val="0057279F"/>
    <w:rsid w:val="00573B4B"/>
    <w:rsid w:val="00573F2C"/>
    <w:rsid w:val="005743F2"/>
    <w:rsid w:val="005751CC"/>
    <w:rsid w:val="005752D5"/>
    <w:rsid w:val="00575BC9"/>
    <w:rsid w:val="005760E3"/>
    <w:rsid w:val="00577B82"/>
    <w:rsid w:val="005815E1"/>
    <w:rsid w:val="0058233E"/>
    <w:rsid w:val="00583672"/>
    <w:rsid w:val="0058464E"/>
    <w:rsid w:val="005858DA"/>
    <w:rsid w:val="005869FC"/>
    <w:rsid w:val="00587125"/>
    <w:rsid w:val="00593448"/>
    <w:rsid w:val="005937D3"/>
    <w:rsid w:val="00593B48"/>
    <w:rsid w:val="00595FB1"/>
    <w:rsid w:val="00596515"/>
    <w:rsid w:val="005A01CB"/>
    <w:rsid w:val="005A156D"/>
    <w:rsid w:val="005A1E39"/>
    <w:rsid w:val="005A24EF"/>
    <w:rsid w:val="005A2B1C"/>
    <w:rsid w:val="005A3DC8"/>
    <w:rsid w:val="005A4AB5"/>
    <w:rsid w:val="005A4BF3"/>
    <w:rsid w:val="005A58FF"/>
    <w:rsid w:val="005A5921"/>
    <w:rsid w:val="005A5EAF"/>
    <w:rsid w:val="005A636B"/>
    <w:rsid w:val="005A64C0"/>
    <w:rsid w:val="005A7C03"/>
    <w:rsid w:val="005B1103"/>
    <w:rsid w:val="005B2D17"/>
    <w:rsid w:val="005B2F50"/>
    <w:rsid w:val="005B3C11"/>
    <w:rsid w:val="005B4657"/>
    <w:rsid w:val="005B4787"/>
    <w:rsid w:val="005B487A"/>
    <w:rsid w:val="005B4B27"/>
    <w:rsid w:val="005B6596"/>
    <w:rsid w:val="005B69C9"/>
    <w:rsid w:val="005B6C7A"/>
    <w:rsid w:val="005B7AE8"/>
    <w:rsid w:val="005B7EFD"/>
    <w:rsid w:val="005C03E4"/>
    <w:rsid w:val="005C0FB5"/>
    <w:rsid w:val="005C14C6"/>
    <w:rsid w:val="005C1C28"/>
    <w:rsid w:val="005C3502"/>
    <w:rsid w:val="005C3FE9"/>
    <w:rsid w:val="005C4D9D"/>
    <w:rsid w:val="005C63B9"/>
    <w:rsid w:val="005C6DB5"/>
    <w:rsid w:val="005C7077"/>
    <w:rsid w:val="005C7445"/>
    <w:rsid w:val="005D70CD"/>
    <w:rsid w:val="005E19E7"/>
    <w:rsid w:val="005E2368"/>
    <w:rsid w:val="005E3C8C"/>
    <w:rsid w:val="005E6979"/>
    <w:rsid w:val="005F0564"/>
    <w:rsid w:val="005F0D35"/>
    <w:rsid w:val="005F60BF"/>
    <w:rsid w:val="005F620A"/>
    <w:rsid w:val="005F64B2"/>
    <w:rsid w:val="005F67EC"/>
    <w:rsid w:val="00602202"/>
    <w:rsid w:val="00602279"/>
    <w:rsid w:val="006038C3"/>
    <w:rsid w:val="00603959"/>
    <w:rsid w:val="00603C3A"/>
    <w:rsid w:val="00605556"/>
    <w:rsid w:val="0060773B"/>
    <w:rsid w:val="0061180D"/>
    <w:rsid w:val="006131FE"/>
    <w:rsid w:val="006143A9"/>
    <w:rsid w:val="0061716C"/>
    <w:rsid w:val="006204A8"/>
    <w:rsid w:val="00620E1F"/>
    <w:rsid w:val="00620F91"/>
    <w:rsid w:val="00622CCB"/>
    <w:rsid w:val="006243A1"/>
    <w:rsid w:val="00624718"/>
    <w:rsid w:val="006247AE"/>
    <w:rsid w:val="00624AFC"/>
    <w:rsid w:val="00627157"/>
    <w:rsid w:val="0062798D"/>
    <w:rsid w:val="00631673"/>
    <w:rsid w:val="00632E56"/>
    <w:rsid w:val="00633AED"/>
    <w:rsid w:val="00633E67"/>
    <w:rsid w:val="00633F40"/>
    <w:rsid w:val="0063540B"/>
    <w:rsid w:val="0063541A"/>
    <w:rsid w:val="00635CBA"/>
    <w:rsid w:val="006360DA"/>
    <w:rsid w:val="006363B5"/>
    <w:rsid w:val="006368BD"/>
    <w:rsid w:val="00641593"/>
    <w:rsid w:val="0064338B"/>
    <w:rsid w:val="0064499D"/>
    <w:rsid w:val="00644EC2"/>
    <w:rsid w:val="006451D3"/>
    <w:rsid w:val="00646483"/>
    <w:rsid w:val="00646542"/>
    <w:rsid w:val="00646EBE"/>
    <w:rsid w:val="006504F4"/>
    <w:rsid w:val="00651DE8"/>
    <w:rsid w:val="00653524"/>
    <w:rsid w:val="00654AF0"/>
    <w:rsid w:val="00654BC9"/>
    <w:rsid w:val="006552FD"/>
    <w:rsid w:val="00660E41"/>
    <w:rsid w:val="00662A0A"/>
    <w:rsid w:val="00663AF3"/>
    <w:rsid w:val="00664731"/>
    <w:rsid w:val="006648E1"/>
    <w:rsid w:val="00665F0B"/>
    <w:rsid w:val="006663F3"/>
    <w:rsid w:val="00666B6C"/>
    <w:rsid w:val="00667E2E"/>
    <w:rsid w:val="00667EED"/>
    <w:rsid w:val="00670523"/>
    <w:rsid w:val="00671544"/>
    <w:rsid w:val="00672674"/>
    <w:rsid w:val="006748B2"/>
    <w:rsid w:val="006762AC"/>
    <w:rsid w:val="006803DA"/>
    <w:rsid w:val="00680C00"/>
    <w:rsid w:val="00680CF9"/>
    <w:rsid w:val="006821E2"/>
    <w:rsid w:val="006823D9"/>
    <w:rsid w:val="00682682"/>
    <w:rsid w:val="00682702"/>
    <w:rsid w:val="00682CAE"/>
    <w:rsid w:val="00683E37"/>
    <w:rsid w:val="00685CB7"/>
    <w:rsid w:val="0068719F"/>
    <w:rsid w:val="00687360"/>
    <w:rsid w:val="006914FC"/>
    <w:rsid w:val="00692368"/>
    <w:rsid w:val="00692A72"/>
    <w:rsid w:val="00694210"/>
    <w:rsid w:val="006951BC"/>
    <w:rsid w:val="0069574C"/>
    <w:rsid w:val="006960D0"/>
    <w:rsid w:val="0069731F"/>
    <w:rsid w:val="006A0183"/>
    <w:rsid w:val="006A05B3"/>
    <w:rsid w:val="006A07F4"/>
    <w:rsid w:val="006A0D89"/>
    <w:rsid w:val="006A1711"/>
    <w:rsid w:val="006A2BD7"/>
    <w:rsid w:val="006A2EBC"/>
    <w:rsid w:val="006A2F36"/>
    <w:rsid w:val="006A30D7"/>
    <w:rsid w:val="006A3DC3"/>
    <w:rsid w:val="006A5EA0"/>
    <w:rsid w:val="006A62DD"/>
    <w:rsid w:val="006A783B"/>
    <w:rsid w:val="006A7B33"/>
    <w:rsid w:val="006B1DF7"/>
    <w:rsid w:val="006B2424"/>
    <w:rsid w:val="006B279B"/>
    <w:rsid w:val="006B37C8"/>
    <w:rsid w:val="006B4E13"/>
    <w:rsid w:val="006B5142"/>
    <w:rsid w:val="006B75DD"/>
    <w:rsid w:val="006C0A95"/>
    <w:rsid w:val="006C108F"/>
    <w:rsid w:val="006C20AB"/>
    <w:rsid w:val="006C67E0"/>
    <w:rsid w:val="006C7546"/>
    <w:rsid w:val="006C7ABA"/>
    <w:rsid w:val="006C7C32"/>
    <w:rsid w:val="006D0D60"/>
    <w:rsid w:val="006D1122"/>
    <w:rsid w:val="006D3C00"/>
    <w:rsid w:val="006D3E5E"/>
    <w:rsid w:val="006D657A"/>
    <w:rsid w:val="006D6CF4"/>
    <w:rsid w:val="006E3675"/>
    <w:rsid w:val="006E41AC"/>
    <w:rsid w:val="006E4A7F"/>
    <w:rsid w:val="006E51E5"/>
    <w:rsid w:val="006E56D0"/>
    <w:rsid w:val="006E7C01"/>
    <w:rsid w:val="006F7B25"/>
    <w:rsid w:val="00700B63"/>
    <w:rsid w:val="00704DF6"/>
    <w:rsid w:val="00705DED"/>
    <w:rsid w:val="00706095"/>
    <w:rsid w:val="0070651C"/>
    <w:rsid w:val="00707764"/>
    <w:rsid w:val="0071198E"/>
    <w:rsid w:val="0071308F"/>
    <w:rsid w:val="007132A3"/>
    <w:rsid w:val="00714244"/>
    <w:rsid w:val="00714794"/>
    <w:rsid w:val="00716286"/>
    <w:rsid w:val="00716421"/>
    <w:rsid w:val="00716B80"/>
    <w:rsid w:val="00717A8A"/>
    <w:rsid w:val="00720335"/>
    <w:rsid w:val="0072090B"/>
    <w:rsid w:val="00721C2E"/>
    <w:rsid w:val="00724EFB"/>
    <w:rsid w:val="00727392"/>
    <w:rsid w:val="00730969"/>
    <w:rsid w:val="00732F10"/>
    <w:rsid w:val="007338A1"/>
    <w:rsid w:val="0073503C"/>
    <w:rsid w:val="00737EB1"/>
    <w:rsid w:val="007419C3"/>
    <w:rsid w:val="007440F7"/>
    <w:rsid w:val="00744F22"/>
    <w:rsid w:val="0074506A"/>
    <w:rsid w:val="0074569F"/>
    <w:rsid w:val="007467A7"/>
    <w:rsid w:val="007469DD"/>
    <w:rsid w:val="0074741B"/>
    <w:rsid w:val="0074759E"/>
    <w:rsid w:val="007478EA"/>
    <w:rsid w:val="00747AE8"/>
    <w:rsid w:val="0075016E"/>
    <w:rsid w:val="007504F8"/>
    <w:rsid w:val="00750C12"/>
    <w:rsid w:val="0075176B"/>
    <w:rsid w:val="00753A2F"/>
    <w:rsid w:val="00753AF8"/>
    <w:rsid w:val="0075415C"/>
    <w:rsid w:val="00755568"/>
    <w:rsid w:val="0075758C"/>
    <w:rsid w:val="0076062B"/>
    <w:rsid w:val="0076105E"/>
    <w:rsid w:val="00761B39"/>
    <w:rsid w:val="007624D9"/>
    <w:rsid w:val="00763502"/>
    <w:rsid w:val="00763D30"/>
    <w:rsid w:val="007644B2"/>
    <w:rsid w:val="0076614A"/>
    <w:rsid w:val="0076676D"/>
    <w:rsid w:val="00766B36"/>
    <w:rsid w:val="00767386"/>
    <w:rsid w:val="00767A51"/>
    <w:rsid w:val="007702C3"/>
    <w:rsid w:val="00770449"/>
    <w:rsid w:val="00770FE2"/>
    <w:rsid w:val="00771597"/>
    <w:rsid w:val="00771B61"/>
    <w:rsid w:val="007721A5"/>
    <w:rsid w:val="007728C7"/>
    <w:rsid w:val="00774AE1"/>
    <w:rsid w:val="00777032"/>
    <w:rsid w:val="007801C8"/>
    <w:rsid w:val="007806D3"/>
    <w:rsid w:val="00780E99"/>
    <w:rsid w:val="0078160D"/>
    <w:rsid w:val="0078183B"/>
    <w:rsid w:val="007832D9"/>
    <w:rsid w:val="0078603E"/>
    <w:rsid w:val="00787C36"/>
    <w:rsid w:val="007913AB"/>
    <w:rsid w:val="007914F7"/>
    <w:rsid w:val="00793136"/>
    <w:rsid w:val="00793A4C"/>
    <w:rsid w:val="00794940"/>
    <w:rsid w:val="00794E2D"/>
    <w:rsid w:val="00795499"/>
    <w:rsid w:val="00796EFA"/>
    <w:rsid w:val="007A0A24"/>
    <w:rsid w:val="007A3BDF"/>
    <w:rsid w:val="007A4902"/>
    <w:rsid w:val="007A5294"/>
    <w:rsid w:val="007A63D6"/>
    <w:rsid w:val="007B118D"/>
    <w:rsid w:val="007B1625"/>
    <w:rsid w:val="007B1753"/>
    <w:rsid w:val="007B1B81"/>
    <w:rsid w:val="007B3BC2"/>
    <w:rsid w:val="007B5E89"/>
    <w:rsid w:val="007B6289"/>
    <w:rsid w:val="007B706E"/>
    <w:rsid w:val="007B71EB"/>
    <w:rsid w:val="007B7954"/>
    <w:rsid w:val="007C0916"/>
    <w:rsid w:val="007C27DB"/>
    <w:rsid w:val="007C3A74"/>
    <w:rsid w:val="007C4443"/>
    <w:rsid w:val="007C6205"/>
    <w:rsid w:val="007C6251"/>
    <w:rsid w:val="007C686A"/>
    <w:rsid w:val="007C728E"/>
    <w:rsid w:val="007D0F45"/>
    <w:rsid w:val="007D2B21"/>
    <w:rsid w:val="007D2C53"/>
    <w:rsid w:val="007D39F7"/>
    <w:rsid w:val="007D3D60"/>
    <w:rsid w:val="007D4C3C"/>
    <w:rsid w:val="007D556A"/>
    <w:rsid w:val="007E1012"/>
    <w:rsid w:val="007E133D"/>
    <w:rsid w:val="007E1957"/>
    <w:rsid w:val="007E1980"/>
    <w:rsid w:val="007E4B76"/>
    <w:rsid w:val="007E5EA8"/>
    <w:rsid w:val="007E5F80"/>
    <w:rsid w:val="007E6364"/>
    <w:rsid w:val="007E7598"/>
    <w:rsid w:val="007E763F"/>
    <w:rsid w:val="007E7AE0"/>
    <w:rsid w:val="007F0CF1"/>
    <w:rsid w:val="007F0F28"/>
    <w:rsid w:val="007F12A5"/>
    <w:rsid w:val="007F230B"/>
    <w:rsid w:val="007F310F"/>
    <w:rsid w:val="007F3BCC"/>
    <w:rsid w:val="007F4CF1"/>
    <w:rsid w:val="007F5169"/>
    <w:rsid w:val="007F58C4"/>
    <w:rsid w:val="007F6108"/>
    <w:rsid w:val="007F62FF"/>
    <w:rsid w:val="007F70D7"/>
    <w:rsid w:val="007F758D"/>
    <w:rsid w:val="007F7D52"/>
    <w:rsid w:val="0080067C"/>
    <w:rsid w:val="008023F4"/>
    <w:rsid w:val="008030D3"/>
    <w:rsid w:val="008034ED"/>
    <w:rsid w:val="0080623F"/>
    <w:rsid w:val="0080654C"/>
    <w:rsid w:val="008071C6"/>
    <w:rsid w:val="00810526"/>
    <w:rsid w:val="0081110B"/>
    <w:rsid w:val="00811230"/>
    <w:rsid w:val="00811256"/>
    <w:rsid w:val="0081204F"/>
    <w:rsid w:val="00812357"/>
    <w:rsid w:val="00814109"/>
    <w:rsid w:val="00814E9F"/>
    <w:rsid w:val="00815189"/>
    <w:rsid w:val="00815BE6"/>
    <w:rsid w:val="0081779E"/>
    <w:rsid w:val="00817A00"/>
    <w:rsid w:val="00817AA4"/>
    <w:rsid w:val="00817FC3"/>
    <w:rsid w:val="00820592"/>
    <w:rsid w:val="00823371"/>
    <w:rsid w:val="00827E7C"/>
    <w:rsid w:val="008311B5"/>
    <w:rsid w:val="00831AAC"/>
    <w:rsid w:val="00831B16"/>
    <w:rsid w:val="0083290B"/>
    <w:rsid w:val="00835DB3"/>
    <w:rsid w:val="0083617B"/>
    <w:rsid w:val="008371BD"/>
    <w:rsid w:val="008371CD"/>
    <w:rsid w:val="00842C94"/>
    <w:rsid w:val="008430C4"/>
    <w:rsid w:val="008433E5"/>
    <w:rsid w:val="0084526D"/>
    <w:rsid w:val="0084535C"/>
    <w:rsid w:val="00845BF4"/>
    <w:rsid w:val="0085021F"/>
    <w:rsid w:val="008504A8"/>
    <w:rsid w:val="0085282E"/>
    <w:rsid w:val="0085309A"/>
    <w:rsid w:val="00853920"/>
    <w:rsid w:val="00856CCA"/>
    <w:rsid w:val="008573BD"/>
    <w:rsid w:val="00857C5C"/>
    <w:rsid w:val="00857F68"/>
    <w:rsid w:val="00860470"/>
    <w:rsid w:val="00863954"/>
    <w:rsid w:val="0086399A"/>
    <w:rsid w:val="00864122"/>
    <w:rsid w:val="00864928"/>
    <w:rsid w:val="0086552E"/>
    <w:rsid w:val="008673C3"/>
    <w:rsid w:val="00867F30"/>
    <w:rsid w:val="00870B30"/>
    <w:rsid w:val="0087198C"/>
    <w:rsid w:val="008723B5"/>
    <w:rsid w:val="00872C1F"/>
    <w:rsid w:val="00873B42"/>
    <w:rsid w:val="00875EEF"/>
    <w:rsid w:val="008765E2"/>
    <w:rsid w:val="00880368"/>
    <w:rsid w:val="008803F6"/>
    <w:rsid w:val="008816FF"/>
    <w:rsid w:val="00881E23"/>
    <w:rsid w:val="00882DBF"/>
    <w:rsid w:val="008835E1"/>
    <w:rsid w:val="00884065"/>
    <w:rsid w:val="008845D2"/>
    <w:rsid w:val="008856D8"/>
    <w:rsid w:val="00885810"/>
    <w:rsid w:val="008865F1"/>
    <w:rsid w:val="00886911"/>
    <w:rsid w:val="00886B6B"/>
    <w:rsid w:val="008875DE"/>
    <w:rsid w:val="008900A4"/>
    <w:rsid w:val="0089015C"/>
    <w:rsid w:val="00890AAE"/>
    <w:rsid w:val="00891C15"/>
    <w:rsid w:val="00891C5F"/>
    <w:rsid w:val="008925B7"/>
    <w:rsid w:val="00892E82"/>
    <w:rsid w:val="00893213"/>
    <w:rsid w:val="0089530D"/>
    <w:rsid w:val="008A1414"/>
    <w:rsid w:val="008A38CD"/>
    <w:rsid w:val="008A397B"/>
    <w:rsid w:val="008A418D"/>
    <w:rsid w:val="008A4E3C"/>
    <w:rsid w:val="008A6266"/>
    <w:rsid w:val="008A77FE"/>
    <w:rsid w:val="008B11FA"/>
    <w:rsid w:val="008B270F"/>
    <w:rsid w:val="008B4B35"/>
    <w:rsid w:val="008B4D6C"/>
    <w:rsid w:val="008B5C6B"/>
    <w:rsid w:val="008B6FF7"/>
    <w:rsid w:val="008B7664"/>
    <w:rsid w:val="008B7950"/>
    <w:rsid w:val="008C199B"/>
    <w:rsid w:val="008C1B58"/>
    <w:rsid w:val="008C39AE"/>
    <w:rsid w:val="008C417B"/>
    <w:rsid w:val="008C4861"/>
    <w:rsid w:val="008C590D"/>
    <w:rsid w:val="008D2462"/>
    <w:rsid w:val="008D4271"/>
    <w:rsid w:val="008D694A"/>
    <w:rsid w:val="008E031B"/>
    <w:rsid w:val="008E1223"/>
    <w:rsid w:val="008E33FC"/>
    <w:rsid w:val="008E376A"/>
    <w:rsid w:val="008E6D6B"/>
    <w:rsid w:val="008E7029"/>
    <w:rsid w:val="008E7EF6"/>
    <w:rsid w:val="008F0D1D"/>
    <w:rsid w:val="008F15D6"/>
    <w:rsid w:val="008F1F98"/>
    <w:rsid w:val="008F3FC2"/>
    <w:rsid w:val="008F6758"/>
    <w:rsid w:val="009001C6"/>
    <w:rsid w:val="0090118C"/>
    <w:rsid w:val="00901D90"/>
    <w:rsid w:val="00901ED3"/>
    <w:rsid w:val="009040DD"/>
    <w:rsid w:val="0090501F"/>
    <w:rsid w:val="00905B47"/>
    <w:rsid w:val="00907D1A"/>
    <w:rsid w:val="009105EE"/>
    <w:rsid w:val="00911465"/>
    <w:rsid w:val="009119A9"/>
    <w:rsid w:val="00911F51"/>
    <w:rsid w:val="0091331C"/>
    <w:rsid w:val="00913F13"/>
    <w:rsid w:val="00915673"/>
    <w:rsid w:val="00921959"/>
    <w:rsid w:val="00922E1E"/>
    <w:rsid w:val="009259B6"/>
    <w:rsid w:val="00925DC5"/>
    <w:rsid w:val="009279DE"/>
    <w:rsid w:val="00930116"/>
    <w:rsid w:val="0093062E"/>
    <w:rsid w:val="00937524"/>
    <w:rsid w:val="0094105F"/>
    <w:rsid w:val="0094212C"/>
    <w:rsid w:val="009423C6"/>
    <w:rsid w:val="009432DF"/>
    <w:rsid w:val="00944F55"/>
    <w:rsid w:val="00947C50"/>
    <w:rsid w:val="00951B0A"/>
    <w:rsid w:val="0095280B"/>
    <w:rsid w:val="00954689"/>
    <w:rsid w:val="00954A08"/>
    <w:rsid w:val="00954D8E"/>
    <w:rsid w:val="00954E7F"/>
    <w:rsid w:val="0095533C"/>
    <w:rsid w:val="009617C9"/>
    <w:rsid w:val="009619E0"/>
    <w:rsid w:val="00961B07"/>
    <w:rsid w:val="00961C93"/>
    <w:rsid w:val="00962667"/>
    <w:rsid w:val="00964084"/>
    <w:rsid w:val="00965324"/>
    <w:rsid w:val="00970028"/>
    <w:rsid w:val="0097091E"/>
    <w:rsid w:val="00971736"/>
    <w:rsid w:val="009728C3"/>
    <w:rsid w:val="0097309E"/>
    <w:rsid w:val="00974658"/>
    <w:rsid w:val="009760D3"/>
    <w:rsid w:val="00976FF4"/>
    <w:rsid w:val="00977132"/>
    <w:rsid w:val="00981A4B"/>
    <w:rsid w:val="00982501"/>
    <w:rsid w:val="00983E77"/>
    <w:rsid w:val="00985878"/>
    <w:rsid w:val="009867C4"/>
    <w:rsid w:val="009877D3"/>
    <w:rsid w:val="0099100C"/>
    <w:rsid w:val="009922AE"/>
    <w:rsid w:val="0099294F"/>
    <w:rsid w:val="00994388"/>
    <w:rsid w:val="00994E8F"/>
    <w:rsid w:val="009951DC"/>
    <w:rsid w:val="009959BB"/>
    <w:rsid w:val="009968E4"/>
    <w:rsid w:val="00997158"/>
    <w:rsid w:val="009A054C"/>
    <w:rsid w:val="009A08A3"/>
    <w:rsid w:val="009A0C91"/>
    <w:rsid w:val="009A3798"/>
    <w:rsid w:val="009A3A7C"/>
    <w:rsid w:val="009A4142"/>
    <w:rsid w:val="009B0AFE"/>
    <w:rsid w:val="009B1B17"/>
    <w:rsid w:val="009B2ADB"/>
    <w:rsid w:val="009B377C"/>
    <w:rsid w:val="009B42C5"/>
    <w:rsid w:val="009B541B"/>
    <w:rsid w:val="009B5D02"/>
    <w:rsid w:val="009B603A"/>
    <w:rsid w:val="009B7E42"/>
    <w:rsid w:val="009C0329"/>
    <w:rsid w:val="009C04DE"/>
    <w:rsid w:val="009C207E"/>
    <w:rsid w:val="009C275A"/>
    <w:rsid w:val="009C2D0E"/>
    <w:rsid w:val="009C3DAC"/>
    <w:rsid w:val="009C42E0"/>
    <w:rsid w:val="009C45D4"/>
    <w:rsid w:val="009C7E90"/>
    <w:rsid w:val="009D19FE"/>
    <w:rsid w:val="009D3D28"/>
    <w:rsid w:val="009D3FAD"/>
    <w:rsid w:val="009D4F3D"/>
    <w:rsid w:val="009D5362"/>
    <w:rsid w:val="009D7850"/>
    <w:rsid w:val="009E00D1"/>
    <w:rsid w:val="009E1415"/>
    <w:rsid w:val="009E150A"/>
    <w:rsid w:val="009E1BC8"/>
    <w:rsid w:val="009E1D93"/>
    <w:rsid w:val="009E3A42"/>
    <w:rsid w:val="009E3C37"/>
    <w:rsid w:val="009E4A0B"/>
    <w:rsid w:val="009E4A89"/>
    <w:rsid w:val="009E6116"/>
    <w:rsid w:val="009F037A"/>
    <w:rsid w:val="009F03A4"/>
    <w:rsid w:val="009F129A"/>
    <w:rsid w:val="009F1B4C"/>
    <w:rsid w:val="009F20FB"/>
    <w:rsid w:val="009F2217"/>
    <w:rsid w:val="009F285B"/>
    <w:rsid w:val="009F28E1"/>
    <w:rsid w:val="009F384E"/>
    <w:rsid w:val="009F48F4"/>
    <w:rsid w:val="009F4B74"/>
    <w:rsid w:val="009F5224"/>
    <w:rsid w:val="00A02E43"/>
    <w:rsid w:val="00A03D4D"/>
    <w:rsid w:val="00A0530A"/>
    <w:rsid w:val="00A0541D"/>
    <w:rsid w:val="00A05B39"/>
    <w:rsid w:val="00A064A5"/>
    <w:rsid w:val="00A065F9"/>
    <w:rsid w:val="00A07242"/>
    <w:rsid w:val="00A07F34"/>
    <w:rsid w:val="00A10E76"/>
    <w:rsid w:val="00A11323"/>
    <w:rsid w:val="00A11DF8"/>
    <w:rsid w:val="00A11EC7"/>
    <w:rsid w:val="00A130B9"/>
    <w:rsid w:val="00A13398"/>
    <w:rsid w:val="00A140D3"/>
    <w:rsid w:val="00A152AB"/>
    <w:rsid w:val="00A16411"/>
    <w:rsid w:val="00A17F4B"/>
    <w:rsid w:val="00A21357"/>
    <w:rsid w:val="00A21703"/>
    <w:rsid w:val="00A22154"/>
    <w:rsid w:val="00A228DE"/>
    <w:rsid w:val="00A22B95"/>
    <w:rsid w:val="00A22D45"/>
    <w:rsid w:val="00A25C38"/>
    <w:rsid w:val="00A27C06"/>
    <w:rsid w:val="00A33414"/>
    <w:rsid w:val="00A34FBF"/>
    <w:rsid w:val="00A35938"/>
    <w:rsid w:val="00A36BBE"/>
    <w:rsid w:val="00A36BEF"/>
    <w:rsid w:val="00A408D5"/>
    <w:rsid w:val="00A4212E"/>
    <w:rsid w:val="00A4307A"/>
    <w:rsid w:val="00A436E1"/>
    <w:rsid w:val="00A43893"/>
    <w:rsid w:val="00A44A8F"/>
    <w:rsid w:val="00A45C14"/>
    <w:rsid w:val="00A45FF5"/>
    <w:rsid w:val="00A46384"/>
    <w:rsid w:val="00A46951"/>
    <w:rsid w:val="00A47EBB"/>
    <w:rsid w:val="00A503EC"/>
    <w:rsid w:val="00A5168F"/>
    <w:rsid w:val="00A51CDD"/>
    <w:rsid w:val="00A53496"/>
    <w:rsid w:val="00A54967"/>
    <w:rsid w:val="00A549A9"/>
    <w:rsid w:val="00A55673"/>
    <w:rsid w:val="00A55A02"/>
    <w:rsid w:val="00A56964"/>
    <w:rsid w:val="00A5738A"/>
    <w:rsid w:val="00A608EB"/>
    <w:rsid w:val="00A632E0"/>
    <w:rsid w:val="00A63D17"/>
    <w:rsid w:val="00A64D1D"/>
    <w:rsid w:val="00A65C3A"/>
    <w:rsid w:val="00A6730D"/>
    <w:rsid w:val="00A678A1"/>
    <w:rsid w:val="00A71625"/>
    <w:rsid w:val="00A71B9B"/>
    <w:rsid w:val="00A73BCF"/>
    <w:rsid w:val="00A751C7"/>
    <w:rsid w:val="00A75B9A"/>
    <w:rsid w:val="00A80039"/>
    <w:rsid w:val="00A80777"/>
    <w:rsid w:val="00A80BD5"/>
    <w:rsid w:val="00A83CA0"/>
    <w:rsid w:val="00A8419B"/>
    <w:rsid w:val="00A854B0"/>
    <w:rsid w:val="00A86224"/>
    <w:rsid w:val="00A87844"/>
    <w:rsid w:val="00A87BB6"/>
    <w:rsid w:val="00A9110A"/>
    <w:rsid w:val="00A948AF"/>
    <w:rsid w:val="00A958E7"/>
    <w:rsid w:val="00A96953"/>
    <w:rsid w:val="00A97A45"/>
    <w:rsid w:val="00AA038C"/>
    <w:rsid w:val="00AA0FEE"/>
    <w:rsid w:val="00AA376C"/>
    <w:rsid w:val="00AA493C"/>
    <w:rsid w:val="00AA4CBB"/>
    <w:rsid w:val="00AA613E"/>
    <w:rsid w:val="00AA701A"/>
    <w:rsid w:val="00AA7457"/>
    <w:rsid w:val="00AA7A09"/>
    <w:rsid w:val="00AB000C"/>
    <w:rsid w:val="00AB3B50"/>
    <w:rsid w:val="00AB6DB7"/>
    <w:rsid w:val="00AB798F"/>
    <w:rsid w:val="00AB7C0B"/>
    <w:rsid w:val="00AC05B1"/>
    <w:rsid w:val="00AC0B39"/>
    <w:rsid w:val="00AC0F31"/>
    <w:rsid w:val="00AC2684"/>
    <w:rsid w:val="00AC2A08"/>
    <w:rsid w:val="00AC2DE1"/>
    <w:rsid w:val="00AC3460"/>
    <w:rsid w:val="00AC63BE"/>
    <w:rsid w:val="00AC6A0C"/>
    <w:rsid w:val="00AD0482"/>
    <w:rsid w:val="00AD15F7"/>
    <w:rsid w:val="00AD17C0"/>
    <w:rsid w:val="00AD196D"/>
    <w:rsid w:val="00AD1A1D"/>
    <w:rsid w:val="00AD2CE3"/>
    <w:rsid w:val="00AD356C"/>
    <w:rsid w:val="00AD3A4E"/>
    <w:rsid w:val="00AD6FC6"/>
    <w:rsid w:val="00AD78C2"/>
    <w:rsid w:val="00AE2914"/>
    <w:rsid w:val="00AE332D"/>
    <w:rsid w:val="00AE4CAA"/>
    <w:rsid w:val="00AE65DC"/>
    <w:rsid w:val="00AE66BD"/>
    <w:rsid w:val="00AE6D15"/>
    <w:rsid w:val="00AE7179"/>
    <w:rsid w:val="00AE7CE8"/>
    <w:rsid w:val="00AF1648"/>
    <w:rsid w:val="00AF19C1"/>
    <w:rsid w:val="00AF71ED"/>
    <w:rsid w:val="00B0148C"/>
    <w:rsid w:val="00B040CC"/>
    <w:rsid w:val="00B04182"/>
    <w:rsid w:val="00B05F61"/>
    <w:rsid w:val="00B07267"/>
    <w:rsid w:val="00B07AE3"/>
    <w:rsid w:val="00B07E12"/>
    <w:rsid w:val="00B10687"/>
    <w:rsid w:val="00B11430"/>
    <w:rsid w:val="00B11D83"/>
    <w:rsid w:val="00B14B27"/>
    <w:rsid w:val="00B17ADC"/>
    <w:rsid w:val="00B21D0D"/>
    <w:rsid w:val="00B23748"/>
    <w:rsid w:val="00B26255"/>
    <w:rsid w:val="00B26A5F"/>
    <w:rsid w:val="00B31A44"/>
    <w:rsid w:val="00B32F73"/>
    <w:rsid w:val="00B33BBD"/>
    <w:rsid w:val="00B34908"/>
    <w:rsid w:val="00B34AA8"/>
    <w:rsid w:val="00B34C05"/>
    <w:rsid w:val="00B34CEF"/>
    <w:rsid w:val="00B353EB"/>
    <w:rsid w:val="00B35AFC"/>
    <w:rsid w:val="00B3628E"/>
    <w:rsid w:val="00B36356"/>
    <w:rsid w:val="00B37EED"/>
    <w:rsid w:val="00B42BEF"/>
    <w:rsid w:val="00B43459"/>
    <w:rsid w:val="00B439C4"/>
    <w:rsid w:val="00B44033"/>
    <w:rsid w:val="00B4446F"/>
    <w:rsid w:val="00B44FC4"/>
    <w:rsid w:val="00B4535E"/>
    <w:rsid w:val="00B460E0"/>
    <w:rsid w:val="00B52A70"/>
    <w:rsid w:val="00B52A8C"/>
    <w:rsid w:val="00B53A95"/>
    <w:rsid w:val="00B54AB5"/>
    <w:rsid w:val="00B56612"/>
    <w:rsid w:val="00B57A8B"/>
    <w:rsid w:val="00B61CA6"/>
    <w:rsid w:val="00B623AF"/>
    <w:rsid w:val="00B62776"/>
    <w:rsid w:val="00B6345A"/>
    <w:rsid w:val="00B636A8"/>
    <w:rsid w:val="00B6467F"/>
    <w:rsid w:val="00B65276"/>
    <w:rsid w:val="00B665C6"/>
    <w:rsid w:val="00B66B12"/>
    <w:rsid w:val="00B67665"/>
    <w:rsid w:val="00B676CF"/>
    <w:rsid w:val="00B70A53"/>
    <w:rsid w:val="00B71F63"/>
    <w:rsid w:val="00B747F2"/>
    <w:rsid w:val="00B7506D"/>
    <w:rsid w:val="00B756A4"/>
    <w:rsid w:val="00B76321"/>
    <w:rsid w:val="00B805AF"/>
    <w:rsid w:val="00B80E3D"/>
    <w:rsid w:val="00B8212E"/>
    <w:rsid w:val="00B83F26"/>
    <w:rsid w:val="00B851B6"/>
    <w:rsid w:val="00B869EC"/>
    <w:rsid w:val="00B86ACF"/>
    <w:rsid w:val="00B9087D"/>
    <w:rsid w:val="00B93086"/>
    <w:rsid w:val="00B9397A"/>
    <w:rsid w:val="00B94D3E"/>
    <w:rsid w:val="00B94F64"/>
    <w:rsid w:val="00B9531A"/>
    <w:rsid w:val="00B9633D"/>
    <w:rsid w:val="00BA07B8"/>
    <w:rsid w:val="00BA0B75"/>
    <w:rsid w:val="00BA1356"/>
    <w:rsid w:val="00BA1AB9"/>
    <w:rsid w:val="00BA2599"/>
    <w:rsid w:val="00BA2DBF"/>
    <w:rsid w:val="00BA2EBE"/>
    <w:rsid w:val="00BA4DEC"/>
    <w:rsid w:val="00BA7553"/>
    <w:rsid w:val="00BB0F28"/>
    <w:rsid w:val="00BB1EF9"/>
    <w:rsid w:val="00BB29B0"/>
    <w:rsid w:val="00BB2F13"/>
    <w:rsid w:val="00BB2FDF"/>
    <w:rsid w:val="00BB33F9"/>
    <w:rsid w:val="00BB414F"/>
    <w:rsid w:val="00BB458A"/>
    <w:rsid w:val="00BB6407"/>
    <w:rsid w:val="00BB7C8B"/>
    <w:rsid w:val="00BB7FDE"/>
    <w:rsid w:val="00BC1AD8"/>
    <w:rsid w:val="00BC266B"/>
    <w:rsid w:val="00BC2D37"/>
    <w:rsid w:val="00BC3FF2"/>
    <w:rsid w:val="00BC4346"/>
    <w:rsid w:val="00BC53C6"/>
    <w:rsid w:val="00BC5F3A"/>
    <w:rsid w:val="00BC6674"/>
    <w:rsid w:val="00BC6A2B"/>
    <w:rsid w:val="00BC721D"/>
    <w:rsid w:val="00BC7634"/>
    <w:rsid w:val="00BD00D3"/>
    <w:rsid w:val="00BD1659"/>
    <w:rsid w:val="00BD3AA9"/>
    <w:rsid w:val="00BD4A18"/>
    <w:rsid w:val="00BD4EDF"/>
    <w:rsid w:val="00BD593F"/>
    <w:rsid w:val="00BD6DB2"/>
    <w:rsid w:val="00BD71C2"/>
    <w:rsid w:val="00BE029B"/>
    <w:rsid w:val="00BE11CF"/>
    <w:rsid w:val="00BE1F7F"/>
    <w:rsid w:val="00BE20C1"/>
    <w:rsid w:val="00BE21AB"/>
    <w:rsid w:val="00BE2243"/>
    <w:rsid w:val="00BE2D2B"/>
    <w:rsid w:val="00BE300E"/>
    <w:rsid w:val="00BE41ED"/>
    <w:rsid w:val="00BE55CB"/>
    <w:rsid w:val="00BE62FD"/>
    <w:rsid w:val="00BE6815"/>
    <w:rsid w:val="00BF0AD6"/>
    <w:rsid w:val="00BF3C3C"/>
    <w:rsid w:val="00BF426B"/>
    <w:rsid w:val="00BF42A1"/>
    <w:rsid w:val="00BF5B5C"/>
    <w:rsid w:val="00BF5F96"/>
    <w:rsid w:val="00BF617A"/>
    <w:rsid w:val="00BF6FCE"/>
    <w:rsid w:val="00C0379D"/>
    <w:rsid w:val="00C03931"/>
    <w:rsid w:val="00C056EC"/>
    <w:rsid w:val="00C05FE3"/>
    <w:rsid w:val="00C06BEC"/>
    <w:rsid w:val="00C1044A"/>
    <w:rsid w:val="00C14FAE"/>
    <w:rsid w:val="00C150BB"/>
    <w:rsid w:val="00C17272"/>
    <w:rsid w:val="00C2136D"/>
    <w:rsid w:val="00C214EE"/>
    <w:rsid w:val="00C21BF9"/>
    <w:rsid w:val="00C2314B"/>
    <w:rsid w:val="00C24971"/>
    <w:rsid w:val="00C25A3C"/>
    <w:rsid w:val="00C268E9"/>
    <w:rsid w:val="00C26BE5"/>
    <w:rsid w:val="00C26E4D"/>
    <w:rsid w:val="00C277F2"/>
    <w:rsid w:val="00C27909"/>
    <w:rsid w:val="00C27B03"/>
    <w:rsid w:val="00C30BDA"/>
    <w:rsid w:val="00C314E1"/>
    <w:rsid w:val="00C325EC"/>
    <w:rsid w:val="00C3399A"/>
    <w:rsid w:val="00C34397"/>
    <w:rsid w:val="00C36C91"/>
    <w:rsid w:val="00C37252"/>
    <w:rsid w:val="00C3788B"/>
    <w:rsid w:val="00C40425"/>
    <w:rsid w:val="00C4095D"/>
    <w:rsid w:val="00C40CE1"/>
    <w:rsid w:val="00C41B7E"/>
    <w:rsid w:val="00C448D3"/>
    <w:rsid w:val="00C457DA"/>
    <w:rsid w:val="00C45BF7"/>
    <w:rsid w:val="00C53BE0"/>
    <w:rsid w:val="00C53F17"/>
    <w:rsid w:val="00C54904"/>
    <w:rsid w:val="00C557CC"/>
    <w:rsid w:val="00C55DA5"/>
    <w:rsid w:val="00C56094"/>
    <w:rsid w:val="00C56557"/>
    <w:rsid w:val="00C57BAA"/>
    <w:rsid w:val="00C601D2"/>
    <w:rsid w:val="00C60237"/>
    <w:rsid w:val="00C622E9"/>
    <w:rsid w:val="00C62605"/>
    <w:rsid w:val="00C62FBF"/>
    <w:rsid w:val="00C64C7B"/>
    <w:rsid w:val="00C65BCC"/>
    <w:rsid w:val="00C66970"/>
    <w:rsid w:val="00C70FCC"/>
    <w:rsid w:val="00C71A2A"/>
    <w:rsid w:val="00C71D65"/>
    <w:rsid w:val="00C72E7A"/>
    <w:rsid w:val="00C738D8"/>
    <w:rsid w:val="00C74CF3"/>
    <w:rsid w:val="00C750FE"/>
    <w:rsid w:val="00C76D5B"/>
    <w:rsid w:val="00C82F6B"/>
    <w:rsid w:val="00C8691C"/>
    <w:rsid w:val="00C871A5"/>
    <w:rsid w:val="00C874A8"/>
    <w:rsid w:val="00C9013A"/>
    <w:rsid w:val="00C901A9"/>
    <w:rsid w:val="00C90D53"/>
    <w:rsid w:val="00C94725"/>
    <w:rsid w:val="00C94943"/>
    <w:rsid w:val="00C94A6F"/>
    <w:rsid w:val="00C94AE8"/>
    <w:rsid w:val="00C94D55"/>
    <w:rsid w:val="00C97555"/>
    <w:rsid w:val="00C97D94"/>
    <w:rsid w:val="00CA168A"/>
    <w:rsid w:val="00CA1DFA"/>
    <w:rsid w:val="00CA3302"/>
    <w:rsid w:val="00CA357E"/>
    <w:rsid w:val="00CA44F9"/>
    <w:rsid w:val="00CA4511"/>
    <w:rsid w:val="00CA4A69"/>
    <w:rsid w:val="00CA5151"/>
    <w:rsid w:val="00CA65E4"/>
    <w:rsid w:val="00CB37FC"/>
    <w:rsid w:val="00CB3C56"/>
    <w:rsid w:val="00CC0324"/>
    <w:rsid w:val="00CC062F"/>
    <w:rsid w:val="00CC20E7"/>
    <w:rsid w:val="00CC38A0"/>
    <w:rsid w:val="00CC3D71"/>
    <w:rsid w:val="00CC3E0C"/>
    <w:rsid w:val="00CC4720"/>
    <w:rsid w:val="00CC58D3"/>
    <w:rsid w:val="00CC591E"/>
    <w:rsid w:val="00CC6E72"/>
    <w:rsid w:val="00CC72A8"/>
    <w:rsid w:val="00CC784D"/>
    <w:rsid w:val="00CD0759"/>
    <w:rsid w:val="00CD178F"/>
    <w:rsid w:val="00CD3F37"/>
    <w:rsid w:val="00CD53F7"/>
    <w:rsid w:val="00CD67A0"/>
    <w:rsid w:val="00CD67AB"/>
    <w:rsid w:val="00CE17BA"/>
    <w:rsid w:val="00CE3A76"/>
    <w:rsid w:val="00CE3E50"/>
    <w:rsid w:val="00CE6F0A"/>
    <w:rsid w:val="00CE6FA2"/>
    <w:rsid w:val="00CF22CA"/>
    <w:rsid w:val="00CF589E"/>
    <w:rsid w:val="00CF5913"/>
    <w:rsid w:val="00CF68D7"/>
    <w:rsid w:val="00CF7AF4"/>
    <w:rsid w:val="00D01390"/>
    <w:rsid w:val="00D01952"/>
    <w:rsid w:val="00D031DE"/>
    <w:rsid w:val="00D032BE"/>
    <w:rsid w:val="00D0337B"/>
    <w:rsid w:val="00D040EC"/>
    <w:rsid w:val="00D045E3"/>
    <w:rsid w:val="00D06A21"/>
    <w:rsid w:val="00D06FD0"/>
    <w:rsid w:val="00D070E7"/>
    <w:rsid w:val="00D079B2"/>
    <w:rsid w:val="00D07DA6"/>
    <w:rsid w:val="00D114E9"/>
    <w:rsid w:val="00D135C5"/>
    <w:rsid w:val="00D16AD5"/>
    <w:rsid w:val="00D2077C"/>
    <w:rsid w:val="00D20787"/>
    <w:rsid w:val="00D221C7"/>
    <w:rsid w:val="00D2360C"/>
    <w:rsid w:val="00D25E22"/>
    <w:rsid w:val="00D26E44"/>
    <w:rsid w:val="00D3331D"/>
    <w:rsid w:val="00D346E3"/>
    <w:rsid w:val="00D346FC"/>
    <w:rsid w:val="00D36412"/>
    <w:rsid w:val="00D36896"/>
    <w:rsid w:val="00D41B78"/>
    <w:rsid w:val="00D42093"/>
    <w:rsid w:val="00D429C6"/>
    <w:rsid w:val="00D438F4"/>
    <w:rsid w:val="00D44108"/>
    <w:rsid w:val="00D46DCF"/>
    <w:rsid w:val="00D47748"/>
    <w:rsid w:val="00D47966"/>
    <w:rsid w:val="00D47F87"/>
    <w:rsid w:val="00D47FB1"/>
    <w:rsid w:val="00D51779"/>
    <w:rsid w:val="00D53161"/>
    <w:rsid w:val="00D54C3A"/>
    <w:rsid w:val="00D54CC3"/>
    <w:rsid w:val="00D55F95"/>
    <w:rsid w:val="00D5667A"/>
    <w:rsid w:val="00D567E1"/>
    <w:rsid w:val="00D6041A"/>
    <w:rsid w:val="00D6172D"/>
    <w:rsid w:val="00D62BEF"/>
    <w:rsid w:val="00D633EB"/>
    <w:rsid w:val="00D636CC"/>
    <w:rsid w:val="00D70B38"/>
    <w:rsid w:val="00D72AC4"/>
    <w:rsid w:val="00D77DF0"/>
    <w:rsid w:val="00D81115"/>
    <w:rsid w:val="00D8153B"/>
    <w:rsid w:val="00D815B0"/>
    <w:rsid w:val="00D819A7"/>
    <w:rsid w:val="00D826B4"/>
    <w:rsid w:val="00D82D62"/>
    <w:rsid w:val="00D82FF7"/>
    <w:rsid w:val="00D8341E"/>
    <w:rsid w:val="00D8447F"/>
    <w:rsid w:val="00D847FE"/>
    <w:rsid w:val="00D84931"/>
    <w:rsid w:val="00D91D75"/>
    <w:rsid w:val="00D944EF"/>
    <w:rsid w:val="00D95959"/>
    <w:rsid w:val="00D964EA"/>
    <w:rsid w:val="00D966D0"/>
    <w:rsid w:val="00D97497"/>
    <w:rsid w:val="00D976E1"/>
    <w:rsid w:val="00D97B91"/>
    <w:rsid w:val="00D97FC7"/>
    <w:rsid w:val="00DA0C59"/>
    <w:rsid w:val="00DA3991"/>
    <w:rsid w:val="00DB0990"/>
    <w:rsid w:val="00DB0C4B"/>
    <w:rsid w:val="00DB1D2D"/>
    <w:rsid w:val="00DB1F45"/>
    <w:rsid w:val="00DB5D0E"/>
    <w:rsid w:val="00DB6BCC"/>
    <w:rsid w:val="00DB7859"/>
    <w:rsid w:val="00DB7E6C"/>
    <w:rsid w:val="00DC0B1C"/>
    <w:rsid w:val="00DC6D87"/>
    <w:rsid w:val="00DC71A9"/>
    <w:rsid w:val="00DC794F"/>
    <w:rsid w:val="00DD06D8"/>
    <w:rsid w:val="00DD097F"/>
    <w:rsid w:val="00DD305D"/>
    <w:rsid w:val="00DD3D6D"/>
    <w:rsid w:val="00DD4B15"/>
    <w:rsid w:val="00DD5047"/>
    <w:rsid w:val="00DD5168"/>
    <w:rsid w:val="00DD5202"/>
    <w:rsid w:val="00DD5A29"/>
    <w:rsid w:val="00DD5D9D"/>
    <w:rsid w:val="00DD75C8"/>
    <w:rsid w:val="00DD7C53"/>
    <w:rsid w:val="00DE2BFF"/>
    <w:rsid w:val="00DE2CAA"/>
    <w:rsid w:val="00DE35CB"/>
    <w:rsid w:val="00DE3FEF"/>
    <w:rsid w:val="00DF0A07"/>
    <w:rsid w:val="00DF1312"/>
    <w:rsid w:val="00DF21E9"/>
    <w:rsid w:val="00DF2B10"/>
    <w:rsid w:val="00DF2D7A"/>
    <w:rsid w:val="00DF3BE5"/>
    <w:rsid w:val="00DF40A2"/>
    <w:rsid w:val="00DF4143"/>
    <w:rsid w:val="00DF45BE"/>
    <w:rsid w:val="00DF6D55"/>
    <w:rsid w:val="00DF7704"/>
    <w:rsid w:val="00DF7E34"/>
    <w:rsid w:val="00E00F14"/>
    <w:rsid w:val="00E060B3"/>
    <w:rsid w:val="00E06386"/>
    <w:rsid w:val="00E07478"/>
    <w:rsid w:val="00E11EA9"/>
    <w:rsid w:val="00E131D8"/>
    <w:rsid w:val="00E15C21"/>
    <w:rsid w:val="00E17FE3"/>
    <w:rsid w:val="00E2018E"/>
    <w:rsid w:val="00E203E9"/>
    <w:rsid w:val="00E230AB"/>
    <w:rsid w:val="00E23B22"/>
    <w:rsid w:val="00E24EB4"/>
    <w:rsid w:val="00E320ED"/>
    <w:rsid w:val="00E32611"/>
    <w:rsid w:val="00E33A1E"/>
    <w:rsid w:val="00E33AFB"/>
    <w:rsid w:val="00E34218"/>
    <w:rsid w:val="00E3541B"/>
    <w:rsid w:val="00E35761"/>
    <w:rsid w:val="00E35BF2"/>
    <w:rsid w:val="00E35CA0"/>
    <w:rsid w:val="00E36DA2"/>
    <w:rsid w:val="00E36F1E"/>
    <w:rsid w:val="00E3704D"/>
    <w:rsid w:val="00E37340"/>
    <w:rsid w:val="00E37BE3"/>
    <w:rsid w:val="00E37BEB"/>
    <w:rsid w:val="00E42309"/>
    <w:rsid w:val="00E444FA"/>
    <w:rsid w:val="00E45EF4"/>
    <w:rsid w:val="00E46282"/>
    <w:rsid w:val="00E4688B"/>
    <w:rsid w:val="00E50110"/>
    <w:rsid w:val="00E50F60"/>
    <w:rsid w:val="00E51436"/>
    <w:rsid w:val="00E5209A"/>
    <w:rsid w:val="00E5216E"/>
    <w:rsid w:val="00E535FD"/>
    <w:rsid w:val="00E54811"/>
    <w:rsid w:val="00E5699F"/>
    <w:rsid w:val="00E608A2"/>
    <w:rsid w:val="00E62E46"/>
    <w:rsid w:val="00E63ED9"/>
    <w:rsid w:val="00E671FD"/>
    <w:rsid w:val="00E71AAC"/>
    <w:rsid w:val="00E72718"/>
    <w:rsid w:val="00E73F0F"/>
    <w:rsid w:val="00E74B32"/>
    <w:rsid w:val="00E75A3E"/>
    <w:rsid w:val="00E75C92"/>
    <w:rsid w:val="00E77A51"/>
    <w:rsid w:val="00E80CF3"/>
    <w:rsid w:val="00E82344"/>
    <w:rsid w:val="00E82608"/>
    <w:rsid w:val="00E838BC"/>
    <w:rsid w:val="00E83B56"/>
    <w:rsid w:val="00E84639"/>
    <w:rsid w:val="00E84A5A"/>
    <w:rsid w:val="00E84BA1"/>
    <w:rsid w:val="00E84C82"/>
    <w:rsid w:val="00E84D64"/>
    <w:rsid w:val="00E86AA9"/>
    <w:rsid w:val="00E87408"/>
    <w:rsid w:val="00E87C13"/>
    <w:rsid w:val="00E91400"/>
    <w:rsid w:val="00E914C4"/>
    <w:rsid w:val="00E919E7"/>
    <w:rsid w:val="00E91ACD"/>
    <w:rsid w:val="00E934F5"/>
    <w:rsid w:val="00E940FA"/>
    <w:rsid w:val="00E96961"/>
    <w:rsid w:val="00E97C08"/>
    <w:rsid w:val="00EA03C0"/>
    <w:rsid w:val="00EA068C"/>
    <w:rsid w:val="00EA264A"/>
    <w:rsid w:val="00EA2CAB"/>
    <w:rsid w:val="00EA3B67"/>
    <w:rsid w:val="00EA65FA"/>
    <w:rsid w:val="00EA6E82"/>
    <w:rsid w:val="00EA72EC"/>
    <w:rsid w:val="00EA740E"/>
    <w:rsid w:val="00EB11CB"/>
    <w:rsid w:val="00EB275A"/>
    <w:rsid w:val="00EB3774"/>
    <w:rsid w:val="00EB4C54"/>
    <w:rsid w:val="00EB786A"/>
    <w:rsid w:val="00EB7BC2"/>
    <w:rsid w:val="00EB7CC0"/>
    <w:rsid w:val="00EB7EF6"/>
    <w:rsid w:val="00EC0CF5"/>
    <w:rsid w:val="00EC1578"/>
    <w:rsid w:val="00EC1C72"/>
    <w:rsid w:val="00EC2A60"/>
    <w:rsid w:val="00EC3834"/>
    <w:rsid w:val="00EC3CC9"/>
    <w:rsid w:val="00EC3D36"/>
    <w:rsid w:val="00EC48F2"/>
    <w:rsid w:val="00EC5132"/>
    <w:rsid w:val="00EC680A"/>
    <w:rsid w:val="00EC710E"/>
    <w:rsid w:val="00EC7229"/>
    <w:rsid w:val="00EC7D25"/>
    <w:rsid w:val="00ED4F27"/>
    <w:rsid w:val="00ED5010"/>
    <w:rsid w:val="00ED5722"/>
    <w:rsid w:val="00ED7614"/>
    <w:rsid w:val="00EE16EA"/>
    <w:rsid w:val="00EE2BED"/>
    <w:rsid w:val="00EE3424"/>
    <w:rsid w:val="00EE3448"/>
    <w:rsid w:val="00EE374B"/>
    <w:rsid w:val="00EE40AA"/>
    <w:rsid w:val="00EE4AFE"/>
    <w:rsid w:val="00EE552A"/>
    <w:rsid w:val="00EE67E9"/>
    <w:rsid w:val="00EF0051"/>
    <w:rsid w:val="00EF0289"/>
    <w:rsid w:val="00EF26D7"/>
    <w:rsid w:val="00EF45DD"/>
    <w:rsid w:val="00EF4C28"/>
    <w:rsid w:val="00EF7FDE"/>
    <w:rsid w:val="00F01A60"/>
    <w:rsid w:val="00F01F68"/>
    <w:rsid w:val="00F023F5"/>
    <w:rsid w:val="00F02CE3"/>
    <w:rsid w:val="00F033CA"/>
    <w:rsid w:val="00F044E6"/>
    <w:rsid w:val="00F0577E"/>
    <w:rsid w:val="00F06841"/>
    <w:rsid w:val="00F108F7"/>
    <w:rsid w:val="00F10A5C"/>
    <w:rsid w:val="00F11BB5"/>
    <w:rsid w:val="00F12F64"/>
    <w:rsid w:val="00F13373"/>
    <w:rsid w:val="00F1382C"/>
    <w:rsid w:val="00F1417B"/>
    <w:rsid w:val="00F14AE7"/>
    <w:rsid w:val="00F167A7"/>
    <w:rsid w:val="00F1712B"/>
    <w:rsid w:val="00F1723F"/>
    <w:rsid w:val="00F2389D"/>
    <w:rsid w:val="00F23F0B"/>
    <w:rsid w:val="00F2402B"/>
    <w:rsid w:val="00F24E5D"/>
    <w:rsid w:val="00F27B37"/>
    <w:rsid w:val="00F303E1"/>
    <w:rsid w:val="00F3053A"/>
    <w:rsid w:val="00F306D8"/>
    <w:rsid w:val="00F32842"/>
    <w:rsid w:val="00F34B99"/>
    <w:rsid w:val="00F354A7"/>
    <w:rsid w:val="00F35BEC"/>
    <w:rsid w:val="00F35EF8"/>
    <w:rsid w:val="00F36146"/>
    <w:rsid w:val="00F37594"/>
    <w:rsid w:val="00F37A22"/>
    <w:rsid w:val="00F438D5"/>
    <w:rsid w:val="00F439A3"/>
    <w:rsid w:val="00F43E1C"/>
    <w:rsid w:val="00F4410B"/>
    <w:rsid w:val="00F4613D"/>
    <w:rsid w:val="00F4628F"/>
    <w:rsid w:val="00F4775F"/>
    <w:rsid w:val="00F50B18"/>
    <w:rsid w:val="00F51964"/>
    <w:rsid w:val="00F52528"/>
    <w:rsid w:val="00F52DAB"/>
    <w:rsid w:val="00F52F47"/>
    <w:rsid w:val="00F54045"/>
    <w:rsid w:val="00F543F0"/>
    <w:rsid w:val="00F54CE3"/>
    <w:rsid w:val="00F56501"/>
    <w:rsid w:val="00F62FA8"/>
    <w:rsid w:val="00F63C19"/>
    <w:rsid w:val="00F63EFE"/>
    <w:rsid w:val="00F64F38"/>
    <w:rsid w:val="00F67BAB"/>
    <w:rsid w:val="00F67EC9"/>
    <w:rsid w:val="00F71D46"/>
    <w:rsid w:val="00F74DA9"/>
    <w:rsid w:val="00F74F3E"/>
    <w:rsid w:val="00F75738"/>
    <w:rsid w:val="00F7641D"/>
    <w:rsid w:val="00F770BA"/>
    <w:rsid w:val="00F77E74"/>
    <w:rsid w:val="00F80175"/>
    <w:rsid w:val="00F81016"/>
    <w:rsid w:val="00F81D29"/>
    <w:rsid w:val="00F8240F"/>
    <w:rsid w:val="00F824F3"/>
    <w:rsid w:val="00F84B18"/>
    <w:rsid w:val="00F87070"/>
    <w:rsid w:val="00F87A32"/>
    <w:rsid w:val="00F91674"/>
    <w:rsid w:val="00F91C4D"/>
    <w:rsid w:val="00F92BC9"/>
    <w:rsid w:val="00F92FD9"/>
    <w:rsid w:val="00F94464"/>
    <w:rsid w:val="00F96D51"/>
    <w:rsid w:val="00F97C81"/>
    <w:rsid w:val="00FA2451"/>
    <w:rsid w:val="00FA2CEC"/>
    <w:rsid w:val="00FA3073"/>
    <w:rsid w:val="00FA317C"/>
    <w:rsid w:val="00FA3813"/>
    <w:rsid w:val="00FA4C69"/>
    <w:rsid w:val="00FA6684"/>
    <w:rsid w:val="00FA731E"/>
    <w:rsid w:val="00FB0A9C"/>
    <w:rsid w:val="00FB29CA"/>
    <w:rsid w:val="00FB2B38"/>
    <w:rsid w:val="00FB3D96"/>
    <w:rsid w:val="00FB794A"/>
    <w:rsid w:val="00FC177D"/>
    <w:rsid w:val="00FC5184"/>
    <w:rsid w:val="00FC5DBA"/>
    <w:rsid w:val="00FC6358"/>
    <w:rsid w:val="00FC6C5C"/>
    <w:rsid w:val="00FD01CF"/>
    <w:rsid w:val="00FD0CE3"/>
    <w:rsid w:val="00FD1BDB"/>
    <w:rsid w:val="00FD1CB1"/>
    <w:rsid w:val="00FD320D"/>
    <w:rsid w:val="00FD4662"/>
    <w:rsid w:val="00FD4B6C"/>
    <w:rsid w:val="00FD71FA"/>
    <w:rsid w:val="00FD78ED"/>
    <w:rsid w:val="00FD7EE2"/>
    <w:rsid w:val="00FE23DE"/>
    <w:rsid w:val="00FE70CB"/>
    <w:rsid w:val="00FF05E7"/>
    <w:rsid w:val="00FF17A6"/>
    <w:rsid w:val="00FF1D31"/>
    <w:rsid w:val="00FF31E3"/>
    <w:rsid w:val="00FF37DF"/>
    <w:rsid w:val="00FF4CAC"/>
    <w:rsid w:val="00FF6947"/>
    <w:rsid w:val="069C7703"/>
    <w:rsid w:val="096A70C6"/>
    <w:rsid w:val="0BB76D40"/>
    <w:rsid w:val="0C021D58"/>
    <w:rsid w:val="0EFF4FC1"/>
    <w:rsid w:val="0F7E60DA"/>
    <w:rsid w:val="12A37DFF"/>
    <w:rsid w:val="14D200EB"/>
    <w:rsid w:val="166D2D7F"/>
    <w:rsid w:val="18EA696C"/>
    <w:rsid w:val="19EE2B47"/>
    <w:rsid w:val="1D811B4F"/>
    <w:rsid w:val="217355E3"/>
    <w:rsid w:val="27710971"/>
    <w:rsid w:val="2AC21124"/>
    <w:rsid w:val="2F0D7070"/>
    <w:rsid w:val="316F714F"/>
    <w:rsid w:val="3A343798"/>
    <w:rsid w:val="454F3CD1"/>
    <w:rsid w:val="45804AE5"/>
    <w:rsid w:val="49EB1822"/>
    <w:rsid w:val="4FD13E63"/>
    <w:rsid w:val="4FFFB6B5"/>
    <w:rsid w:val="50012CD3"/>
    <w:rsid w:val="5BA1221C"/>
    <w:rsid w:val="61583A9F"/>
    <w:rsid w:val="63021143"/>
    <w:rsid w:val="67320AA5"/>
    <w:rsid w:val="673F2F3F"/>
    <w:rsid w:val="6A4D5C6C"/>
    <w:rsid w:val="6B2A3567"/>
    <w:rsid w:val="6D430A66"/>
    <w:rsid w:val="728E1053"/>
    <w:rsid w:val="73837BE0"/>
    <w:rsid w:val="79F915D0"/>
    <w:rsid w:val="7CD8145D"/>
    <w:rsid w:val="7FDFBD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5690E7CA"/>
  <w15:docId w15:val="{CF0911E3-3DA2-482B-B246-5197B0DC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iPriority="99"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1"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1">
    <w:name w:val="Normal"/>
    <w:qFormat/>
    <w:pPr>
      <w:widowControl w:val="0"/>
      <w:ind w:left="420"/>
      <w:jc w:val="both"/>
    </w:pPr>
    <w:rPr>
      <w:kern w:val="2"/>
      <w:sz w:val="21"/>
      <w:szCs w:val="24"/>
    </w:rPr>
  </w:style>
  <w:style w:type="paragraph" w:styleId="1">
    <w:name w:val="heading 1"/>
    <w:basedOn w:val="aff1"/>
    <w:next w:val="aff1"/>
    <w:link w:val="10"/>
    <w:qFormat/>
    <w:pPr>
      <w:keepNext/>
      <w:keepLines/>
      <w:spacing w:before="340" w:after="330" w:line="578" w:lineRule="auto"/>
      <w:outlineLvl w:val="0"/>
    </w:pPr>
    <w:rPr>
      <w:b/>
      <w:bCs/>
      <w:kern w:val="44"/>
      <w:sz w:val="44"/>
      <w:szCs w:val="44"/>
    </w:rPr>
  </w:style>
  <w:style w:type="paragraph" w:styleId="2">
    <w:name w:val="heading 2"/>
    <w:basedOn w:val="aff1"/>
    <w:next w:val="aff1"/>
    <w:unhideWhenUsed/>
    <w:qFormat/>
    <w:pPr>
      <w:keepNext/>
      <w:keepLines/>
      <w:spacing w:before="260" w:after="260" w:line="413" w:lineRule="auto"/>
      <w:outlineLvl w:val="1"/>
    </w:pPr>
    <w:rPr>
      <w:rFonts w:ascii="Arial" w:eastAsia="黑体" w:hAnsi="Arial"/>
      <w:b/>
      <w:sz w:val="32"/>
    </w:rPr>
  </w:style>
  <w:style w:type="character" w:default="1" w:styleId="aff2">
    <w:name w:val="Default Paragraph Font"/>
    <w:uiPriority w:val="1"/>
    <w:semiHidden/>
    <w:unhideWhenUsed/>
  </w:style>
  <w:style w:type="table" w:default="1" w:styleId="aff3">
    <w:name w:val="Normal Table"/>
    <w:uiPriority w:val="99"/>
    <w:semiHidden/>
    <w:unhideWhenUsed/>
    <w:tblPr>
      <w:tblInd w:w="0" w:type="dxa"/>
      <w:tblCellMar>
        <w:top w:w="0" w:type="dxa"/>
        <w:left w:w="108" w:type="dxa"/>
        <w:bottom w:w="0" w:type="dxa"/>
        <w:right w:w="108" w:type="dxa"/>
      </w:tblCellMar>
    </w:tblPr>
  </w:style>
  <w:style w:type="numbering" w:default="1" w:styleId="aff4">
    <w:name w:val="No List"/>
    <w:uiPriority w:val="99"/>
    <w:semiHidden/>
    <w:unhideWhenUsed/>
  </w:style>
  <w:style w:type="paragraph" w:styleId="7">
    <w:name w:val="toc 7"/>
    <w:basedOn w:val="aff1"/>
    <w:next w:val="aff1"/>
    <w:semiHidden/>
    <w:qFormat/>
    <w:pPr>
      <w:tabs>
        <w:tab w:val="right" w:leader="dot" w:pos="9241"/>
      </w:tabs>
      <w:ind w:firstLineChars="500" w:firstLine="505"/>
      <w:jc w:val="left"/>
    </w:pPr>
    <w:rPr>
      <w:rFonts w:ascii="宋体"/>
      <w:szCs w:val="21"/>
    </w:rPr>
  </w:style>
  <w:style w:type="paragraph" w:styleId="8">
    <w:name w:val="index 8"/>
    <w:basedOn w:val="aff1"/>
    <w:next w:val="aff1"/>
    <w:qFormat/>
    <w:pPr>
      <w:ind w:left="1680" w:hanging="210"/>
      <w:jc w:val="left"/>
    </w:pPr>
    <w:rPr>
      <w:rFonts w:ascii="Calibri" w:hAnsi="Calibri"/>
      <w:sz w:val="20"/>
      <w:szCs w:val="20"/>
    </w:rPr>
  </w:style>
  <w:style w:type="paragraph" w:styleId="aff5">
    <w:name w:val="caption"/>
    <w:basedOn w:val="aff1"/>
    <w:next w:val="aff1"/>
    <w:qFormat/>
    <w:pPr>
      <w:spacing w:before="152" w:after="160"/>
    </w:pPr>
    <w:rPr>
      <w:rFonts w:ascii="Arial" w:eastAsia="黑体" w:hAnsi="Arial" w:cs="Arial"/>
      <w:sz w:val="20"/>
      <w:szCs w:val="20"/>
    </w:rPr>
  </w:style>
  <w:style w:type="paragraph" w:styleId="5">
    <w:name w:val="index 5"/>
    <w:basedOn w:val="aff1"/>
    <w:next w:val="aff1"/>
    <w:qFormat/>
    <w:pPr>
      <w:ind w:left="1050" w:hanging="210"/>
      <w:jc w:val="left"/>
    </w:pPr>
    <w:rPr>
      <w:rFonts w:ascii="Calibri" w:hAnsi="Calibri"/>
      <w:sz w:val="20"/>
      <w:szCs w:val="20"/>
    </w:rPr>
  </w:style>
  <w:style w:type="paragraph" w:styleId="aff6">
    <w:name w:val="Document Map"/>
    <w:basedOn w:val="aff1"/>
    <w:semiHidden/>
    <w:qFormat/>
    <w:pPr>
      <w:shd w:val="clear" w:color="auto" w:fill="000080"/>
    </w:pPr>
  </w:style>
  <w:style w:type="paragraph" w:styleId="aff7">
    <w:name w:val="annotation text"/>
    <w:basedOn w:val="aff1"/>
    <w:link w:val="aff8"/>
    <w:qFormat/>
    <w:pPr>
      <w:jc w:val="left"/>
    </w:pPr>
  </w:style>
  <w:style w:type="paragraph" w:styleId="6">
    <w:name w:val="index 6"/>
    <w:basedOn w:val="aff1"/>
    <w:next w:val="aff1"/>
    <w:qFormat/>
    <w:pPr>
      <w:ind w:left="1260" w:hanging="210"/>
      <w:jc w:val="left"/>
    </w:pPr>
    <w:rPr>
      <w:rFonts w:ascii="Calibri" w:hAnsi="Calibri"/>
      <w:sz w:val="20"/>
      <w:szCs w:val="20"/>
    </w:rPr>
  </w:style>
  <w:style w:type="paragraph" w:styleId="4">
    <w:name w:val="index 4"/>
    <w:basedOn w:val="aff1"/>
    <w:next w:val="aff1"/>
    <w:qFormat/>
    <w:pPr>
      <w:ind w:left="840" w:hanging="210"/>
      <w:jc w:val="left"/>
    </w:pPr>
    <w:rPr>
      <w:rFonts w:ascii="Calibri" w:hAnsi="Calibri"/>
      <w:sz w:val="20"/>
      <w:szCs w:val="20"/>
    </w:rPr>
  </w:style>
  <w:style w:type="paragraph" w:styleId="50">
    <w:name w:val="toc 5"/>
    <w:basedOn w:val="aff1"/>
    <w:next w:val="aff1"/>
    <w:semiHidden/>
    <w:qFormat/>
    <w:pPr>
      <w:tabs>
        <w:tab w:val="right" w:leader="dot" w:pos="9241"/>
      </w:tabs>
      <w:ind w:firstLineChars="300" w:firstLine="300"/>
      <w:jc w:val="left"/>
    </w:pPr>
    <w:rPr>
      <w:rFonts w:ascii="宋体"/>
      <w:szCs w:val="21"/>
    </w:rPr>
  </w:style>
  <w:style w:type="paragraph" w:styleId="3">
    <w:name w:val="toc 3"/>
    <w:basedOn w:val="aff1"/>
    <w:next w:val="aff1"/>
    <w:uiPriority w:val="39"/>
    <w:qFormat/>
    <w:pPr>
      <w:tabs>
        <w:tab w:val="right" w:leader="dot" w:pos="9241"/>
      </w:tabs>
      <w:ind w:firstLineChars="100" w:firstLine="102"/>
      <w:jc w:val="left"/>
    </w:pPr>
    <w:rPr>
      <w:rFonts w:ascii="宋体"/>
      <w:szCs w:val="21"/>
    </w:rPr>
  </w:style>
  <w:style w:type="paragraph" w:styleId="80">
    <w:name w:val="toc 8"/>
    <w:basedOn w:val="aff1"/>
    <w:next w:val="aff1"/>
    <w:semiHidden/>
    <w:qFormat/>
    <w:pPr>
      <w:tabs>
        <w:tab w:val="right" w:leader="dot" w:pos="9241"/>
      </w:tabs>
      <w:ind w:firstLineChars="600" w:firstLine="607"/>
      <w:jc w:val="left"/>
    </w:pPr>
    <w:rPr>
      <w:rFonts w:ascii="宋体"/>
      <w:szCs w:val="21"/>
    </w:rPr>
  </w:style>
  <w:style w:type="paragraph" w:styleId="30">
    <w:name w:val="index 3"/>
    <w:basedOn w:val="aff1"/>
    <w:next w:val="aff1"/>
    <w:qFormat/>
    <w:pPr>
      <w:ind w:left="630" w:hanging="210"/>
      <w:jc w:val="left"/>
    </w:pPr>
    <w:rPr>
      <w:rFonts w:ascii="Calibri" w:hAnsi="Calibri"/>
      <w:sz w:val="20"/>
      <w:szCs w:val="20"/>
    </w:rPr>
  </w:style>
  <w:style w:type="paragraph" w:styleId="aff9">
    <w:name w:val="Date"/>
    <w:basedOn w:val="aff1"/>
    <w:next w:val="aff1"/>
    <w:link w:val="affa"/>
    <w:semiHidden/>
    <w:unhideWhenUsed/>
    <w:qFormat/>
    <w:pPr>
      <w:ind w:leftChars="2500" w:left="100"/>
    </w:pPr>
  </w:style>
  <w:style w:type="paragraph" w:styleId="affb">
    <w:name w:val="endnote text"/>
    <w:basedOn w:val="aff1"/>
    <w:semiHidden/>
    <w:qFormat/>
    <w:pPr>
      <w:snapToGrid w:val="0"/>
      <w:jc w:val="left"/>
    </w:pPr>
  </w:style>
  <w:style w:type="paragraph" w:styleId="affc">
    <w:name w:val="Balloon Text"/>
    <w:basedOn w:val="aff1"/>
    <w:link w:val="affd"/>
    <w:qFormat/>
    <w:rPr>
      <w:sz w:val="18"/>
      <w:szCs w:val="18"/>
    </w:rPr>
  </w:style>
  <w:style w:type="paragraph" w:styleId="affe">
    <w:name w:val="footer"/>
    <w:basedOn w:val="aff1"/>
    <w:link w:val="afff"/>
    <w:uiPriority w:val="99"/>
    <w:qFormat/>
    <w:pPr>
      <w:snapToGrid w:val="0"/>
      <w:ind w:rightChars="100" w:right="210"/>
      <w:jc w:val="right"/>
    </w:pPr>
    <w:rPr>
      <w:sz w:val="18"/>
      <w:szCs w:val="18"/>
    </w:rPr>
  </w:style>
  <w:style w:type="paragraph" w:styleId="afff0">
    <w:name w:val="header"/>
    <w:basedOn w:val="aff1"/>
    <w:qFormat/>
    <w:pPr>
      <w:snapToGrid w:val="0"/>
      <w:jc w:val="left"/>
    </w:pPr>
    <w:rPr>
      <w:sz w:val="18"/>
      <w:szCs w:val="18"/>
    </w:rPr>
  </w:style>
  <w:style w:type="paragraph" w:styleId="11">
    <w:name w:val="toc 1"/>
    <w:basedOn w:val="aff1"/>
    <w:next w:val="aff1"/>
    <w:uiPriority w:val="39"/>
    <w:qFormat/>
    <w:pPr>
      <w:tabs>
        <w:tab w:val="right" w:leader="dot" w:pos="9241"/>
      </w:tabs>
      <w:spacing w:beforeLines="25" w:afterLines="25"/>
      <w:jc w:val="left"/>
    </w:pPr>
    <w:rPr>
      <w:rFonts w:ascii="宋体"/>
      <w:szCs w:val="21"/>
    </w:rPr>
  </w:style>
  <w:style w:type="paragraph" w:styleId="40">
    <w:name w:val="toc 4"/>
    <w:basedOn w:val="aff1"/>
    <w:next w:val="aff1"/>
    <w:uiPriority w:val="39"/>
    <w:qFormat/>
    <w:pPr>
      <w:tabs>
        <w:tab w:val="right" w:leader="dot" w:pos="9241"/>
      </w:tabs>
      <w:ind w:firstLineChars="200" w:firstLine="198"/>
      <w:jc w:val="left"/>
    </w:pPr>
    <w:rPr>
      <w:rFonts w:ascii="宋体"/>
      <w:szCs w:val="21"/>
    </w:rPr>
  </w:style>
  <w:style w:type="paragraph" w:styleId="afff1">
    <w:name w:val="index heading"/>
    <w:basedOn w:val="aff1"/>
    <w:next w:val="12"/>
    <w:qFormat/>
    <w:pPr>
      <w:spacing w:before="120" w:after="120"/>
      <w:jc w:val="center"/>
    </w:pPr>
    <w:rPr>
      <w:rFonts w:ascii="Calibri" w:hAnsi="Calibri"/>
      <w:b/>
      <w:bCs/>
      <w:iCs/>
      <w:szCs w:val="20"/>
    </w:rPr>
  </w:style>
  <w:style w:type="paragraph" w:styleId="12">
    <w:name w:val="index 1"/>
    <w:basedOn w:val="aff1"/>
    <w:next w:val="afff2"/>
    <w:qFormat/>
    <w:pPr>
      <w:tabs>
        <w:tab w:val="right" w:leader="dot" w:pos="9299"/>
      </w:tabs>
      <w:jc w:val="left"/>
    </w:pPr>
    <w:rPr>
      <w:rFonts w:ascii="宋体"/>
      <w:szCs w:val="21"/>
    </w:rPr>
  </w:style>
  <w:style w:type="paragraph" w:customStyle="1" w:styleId="afff2">
    <w:name w:val="段"/>
    <w:link w:val="Char"/>
    <w:qFormat/>
    <w:pPr>
      <w:tabs>
        <w:tab w:val="center" w:pos="4201"/>
        <w:tab w:val="right" w:leader="dot" w:pos="9298"/>
      </w:tabs>
      <w:autoSpaceDE w:val="0"/>
      <w:autoSpaceDN w:val="0"/>
      <w:ind w:left="420" w:firstLineChars="200" w:firstLine="420"/>
      <w:jc w:val="both"/>
    </w:pPr>
    <w:rPr>
      <w:rFonts w:ascii="宋体"/>
      <w:sz w:val="21"/>
    </w:rPr>
  </w:style>
  <w:style w:type="paragraph" w:styleId="af0">
    <w:name w:val="footnote text"/>
    <w:basedOn w:val="aff1"/>
    <w:qFormat/>
    <w:pPr>
      <w:numPr>
        <w:numId w:val="1"/>
      </w:numPr>
      <w:snapToGrid w:val="0"/>
      <w:jc w:val="left"/>
    </w:pPr>
    <w:rPr>
      <w:rFonts w:ascii="宋体"/>
      <w:sz w:val="18"/>
      <w:szCs w:val="18"/>
    </w:rPr>
  </w:style>
  <w:style w:type="paragraph" w:styleId="60">
    <w:name w:val="toc 6"/>
    <w:basedOn w:val="aff1"/>
    <w:next w:val="aff1"/>
    <w:semiHidden/>
    <w:qFormat/>
    <w:pPr>
      <w:tabs>
        <w:tab w:val="right" w:leader="dot" w:pos="9241"/>
      </w:tabs>
      <w:ind w:firstLineChars="400" w:firstLine="403"/>
      <w:jc w:val="left"/>
    </w:pPr>
    <w:rPr>
      <w:rFonts w:ascii="宋体"/>
      <w:szCs w:val="21"/>
    </w:rPr>
  </w:style>
  <w:style w:type="paragraph" w:styleId="70">
    <w:name w:val="index 7"/>
    <w:basedOn w:val="aff1"/>
    <w:next w:val="aff1"/>
    <w:qFormat/>
    <w:pPr>
      <w:ind w:left="1470" w:hanging="210"/>
      <w:jc w:val="left"/>
    </w:pPr>
    <w:rPr>
      <w:rFonts w:ascii="Calibri" w:hAnsi="Calibri"/>
      <w:sz w:val="20"/>
      <w:szCs w:val="20"/>
    </w:rPr>
  </w:style>
  <w:style w:type="paragraph" w:styleId="9">
    <w:name w:val="index 9"/>
    <w:basedOn w:val="aff1"/>
    <w:next w:val="aff1"/>
    <w:qFormat/>
    <w:pPr>
      <w:ind w:left="1890" w:hanging="210"/>
      <w:jc w:val="left"/>
    </w:pPr>
    <w:rPr>
      <w:rFonts w:ascii="Calibri" w:hAnsi="Calibri"/>
      <w:sz w:val="20"/>
      <w:szCs w:val="20"/>
    </w:rPr>
  </w:style>
  <w:style w:type="paragraph" w:styleId="20">
    <w:name w:val="toc 2"/>
    <w:basedOn w:val="aff1"/>
    <w:next w:val="aff1"/>
    <w:uiPriority w:val="39"/>
    <w:qFormat/>
    <w:pPr>
      <w:tabs>
        <w:tab w:val="right" w:leader="dot" w:pos="9241"/>
      </w:tabs>
    </w:pPr>
    <w:rPr>
      <w:rFonts w:ascii="宋体"/>
      <w:szCs w:val="21"/>
    </w:rPr>
  </w:style>
  <w:style w:type="paragraph" w:styleId="90">
    <w:name w:val="toc 9"/>
    <w:basedOn w:val="aff1"/>
    <w:next w:val="aff1"/>
    <w:semiHidden/>
    <w:qFormat/>
    <w:pPr>
      <w:ind w:left="1470"/>
      <w:jc w:val="left"/>
    </w:pPr>
    <w:rPr>
      <w:sz w:val="20"/>
      <w:szCs w:val="20"/>
    </w:rPr>
  </w:style>
  <w:style w:type="paragraph" w:styleId="afff3">
    <w:name w:val="Normal (Web)"/>
    <w:basedOn w:val="aff1"/>
    <w:unhideWhenUsed/>
    <w:qFormat/>
    <w:pPr>
      <w:spacing w:before="100" w:beforeAutospacing="1" w:after="100" w:afterAutospacing="1"/>
      <w:ind w:left="0"/>
      <w:jc w:val="left"/>
    </w:pPr>
    <w:rPr>
      <w:kern w:val="0"/>
      <w:sz w:val="24"/>
    </w:rPr>
  </w:style>
  <w:style w:type="paragraph" w:styleId="21">
    <w:name w:val="index 2"/>
    <w:basedOn w:val="aff1"/>
    <w:next w:val="aff1"/>
    <w:qFormat/>
    <w:pPr>
      <w:ind w:hanging="210"/>
      <w:jc w:val="left"/>
    </w:pPr>
    <w:rPr>
      <w:rFonts w:ascii="Calibri" w:hAnsi="Calibri"/>
      <w:sz w:val="20"/>
      <w:szCs w:val="20"/>
    </w:rPr>
  </w:style>
  <w:style w:type="paragraph" w:styleId="afff4">
    <w:name w:val="annotation subject"/>
    <w:basedOn w:val="aff7"/>
    <w:next w:val="aff7"/>
    <w:link w:val="afff5"/>
    <w:qFormat/>
    <w:rPr>
      <w:b/>
      <w:bCs/>
    </w:rPr>
  </w:style>
  <w:style w:type="table" w:styleId="afff6">
    <w:name w:val="Table Grid"/>
    <w:basedOn w:val="aff3"/>
    <w:qFormat/>
    <w:rPr>
      <w:rFonts w:ascii="宋体"/>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7">
    <w:name w:val="endnote reference"/>
    <w:basedOn w:val="aff2"/>
    <w:semiHidden/>
    <w:qFormat/>
    <w:rPr>
      <w:vertAlign w:val="superscript"/>
    </w:rPr>
  </w:style>
  <w:style w:type="character" w:styleId="afff8">
    <w:name w:val="page number"/>
    <w:basedOn w:val="aff2"/>
    <w:qFormat/>
    <w:rPr>
      <w:rFonts w:ascii="Times New Roman" w:eastAsia="宋体" w:hAnsi="Times New Roman"/>
      <w:sz w:val="18"/>
    </w:rPr>
  </w:style>
  <w:style w:type="character" w:styleId="afff9">
    <w:name w:val="FollowedHyperlink"/>
    <w:basedOn w:val="aff2"/>
    <w:qFormat/>
    <w:rPr>
      <w:color w:val="800080"/>
      <w:u w:val="single"/>
    </w:rPr>
  </w:style>
  <w:style w:type="character" w:styleId="afffa">
    <w:name w:val="Hyperlink"/>
    <w:basedOn w:val="aff2"/>
    <w:uiPriority w:val="99"/>
    <w:qFormat/>
    <w:rPr>
      <w:color w:val="0000FF"/>
      <w:spacing w:val="0"/>
      <w:w w:val="100"/>
      <w:szCs w:val="21"/>
      <w:u w:val="single"/>
    </w:rPr>
  </w:style>
  <w:style w:type="character" w:styleId="afffb">
    <w:name w:val="annotation reference"/>
    <w:basedOn w:val="aff2"/>
    <w:qFormat/>
    <w:rPr>
      <w:sz w:val="21"/>
      <w:szCs w:val="21"/>
    </w:rPr>
  </w:style>
  <w:style w:type="character" w:styleId="afffc">
    <w:name w:val="footnote reference"/>
    <w:basedOn w:val="aff2"/>
    <w:semiHidden/>
    <w:qFormat/>
    <w:rPr>
      <w:vertAlign w:val="superscript"/>
    </w:rPr>
  </w:style>
  <w:style w:type="paragraph" w:customStyle="1" w:styleId="af8">
    <w:name w:val="附录章标题"/>
    <w:next w:val="afff2"/>
    <w:qFormat/>
    <w:pPr>
      <w:numPr>
        <w:ilvl w:val="1"/>
        <w:numId w:val="2"/>
      </w:numPr>
      <w:tabs>
        <w:tab w:val="left" w:pos="360"/>
      </w:tabs>
      <w:wordWrap w:val="0"/>
      <w:overflowPunct w:val="0"/>
      <w:autoSpaceDE w:val="0"/>
      <w:spacing w:beforeLines="100" w:afterLines="100"/>
      <w:jc w:val="both"/>
      <w:textAlignment w:val="baseline"/>
      <w:outlineLvl w:val="1"/>
    </w:pPr>
    <w:rPr>
      <w:rFonts w:ascii="黑体" w:eastAsia="黑体"/>
      <w:kern w:val="21"/>
      <w:sz w:val="21"/>
    </w:rPr>
  </w:style>
  <w:style w:type="paragraph" w:customStyle="1" w:styleId="aff">
    <w:name w:val="附录数字编号列项（二级）"/>
    <w:qFormat/>
    <w:pPr>
      <w:numPr>
        <w:ilvl w:val="1"/>
        <w:numId w:val="3"/>
      </w:numPr>
      <w:jc w:val="both"/>
    </w:pPr>
    <w:rPr>
      <w:rFonts w:ascii="宋体"/>
      <w:sz w:val="21"/>
    </w:rPr>
  </w:style>
  <w:style w:type="paragraph" w:customStyle="1" w:styleId="ac">
    <w:name w:val="附录图标题"/>
    <w:basedOn w:val="aff1"/>
    <w:next w:val="afff2"/>
    <w:qFormat/>
    <w:pPr>
      <w:numPr>
        <w:ilvl w:val="1"/>
        <w:numId w:val="4"/>
      </w:numPr>
      <w:tabs>
        <w:tab w:val="left" w:pos="363"/>
      </w:tabs>
      <w:spacing w:beforeLines="50" w:afterLines="50"/>
      <w:ind w:left="0" w:firstLine="0"/>
      <w:jc w:val="center"/>
    </w:pPr>
    <w:rPr>
      <w:rFonts w:ascii="黑体" w:eastAsia="黑体"/>
      <w:szCs w:val="21"/>
    </w:rPr>
  </w:style>
  <w:style w:type="paragraph" w:customStyle="1" w:styleId="a3">
    <w:name w:val="五级条标题"/>
    <w:basedOn w:val="a2"/>
    <w:next w:val="afff2"/>
    <w:qFormat/>
    <w:pPr>
      <w:numPr>
        <w:ilvl w:val="5"/>
      </w:numPr>
      <w:outlineLvl w:val="6"/>
    </w:pPr>
  </w:style>
  <w:style w:type="paragraph" w:customStyle="1" w:styleId="a2">
    <w:name w:val="四级条标题"/>
    <w:basedOn w:val="afffd"/>
    <w:next w:val="afff2"/>
    <w:qFormat/>
    <w:pPr>
      <w:numPr>
        <w:ilvl w:val="4"/>
        <w:numId w:val="5"/>
      </w:numPr>
      <w:outlineLvl w:val="5"/>
    </w:pPr>
  </w:style>
  <w:style w:type="paragraph" w:customStyle="1" w:styleId="afffd">
    <w:name w:val="三级条标题"/>
    <w:basedOn w:val="a1"/>
    <w:next w:val="afff2"/>
    <w:qFormat/>
    <w:pPr>
      <w:numPr>
        <w:ilvl w:val="0"/>
        <w:numId w:val="0"/>
      </w:numPr>
      <w:outlineLvl w:val="4"/>
    </w:pPr>
  </w:style>
  <w:style w:type="paragraph" w:customStyle="1" w:styleId="a1">
    <w:name w:val="二级条标题"/>
    <w:basedOn w:val="a0"/>
    <w:next w:val="afff2"/>
    <w:qFormat/>
    <w:pPr>
      <w:numPr>
        <w:ilvl w:val="2"/>
      </w:numPr>
      <w:spacing w:before="50" w:after="50"/>
      <w:outlineLvl w:val="3"/>
    </w:pPr>
  </w:style>
  <w:style w:type="paragraph" w:customStyle="1" w:styleId="a0">
    <w:name w:val="一级条标题"/>
    <w:next w:val="afff2"/>
    <w:qFormat/>
    <w:pPr>
      <w:numPr>
        <w:ilvl w:val="1"/>
        <w:numId w:val="5"/>
      </w:numPr>
      <w:spacing w:beforeLines="50" w:afterLines="50"/>
      <w:jc w:val="both"/>
      <w:outlineLvl w:val="2"/>
    </w:pPr>
    <w:rPr>
      <w:rFonts w:ascii="黑体" w:eastAsia="黑体"/>
      <w:sz w:val="21"/>
      <w:szCs w:val="21"/>
    </w:rPr>
  </w:style>
  <w:style w:type="paragraph" w:customStyle="1" w:styleId="af9">
    <w:name w:val="附录一级条标题"/>
    <w:basedOn w:val="af8"/>
    <w:next w:val="afff2"/>
    <w:qFormat/>
    <w:pPr>
      <w:numPr>
        <w:ilvl w:val="2"/>
      </w:numPr>
      <w:autoSpaceDN w:val="0"/>
      <w:spacing w:beforeLines="50" w:afterLines="50"/>
      <w:outlineLvl w:val="2"/>
    </w:pPr>
  </w:style>
  <w:style w:type="paragraph" w:customStyle="1" w:styleId="afffe">
    <w:name w:val="标准称谓"/>
    <w:next w:val="aff1"/>
    <w:qFormat/>
    <w:pPr>
      <w:framePr w:w="9639" w:h="624" w:hRule="exact" w:hSpace="181" w:vSpace="181" w:wrap="around" w:vAnchor="page" w:hAnchor="page" w:x="1419" w:y="2286" w:anchorLock="1"/>
      <w:widowControl w:val="0"/>
      <w:kinsoku w:val="0"/>
      <w:overflowPunct w:val="0"/>
      <w:autoSpaceDE w:val="0"/>
      <w:autoSpaceDN w:val="0"/>
      <w:spacing w:line="0" w:lineRule="atLeast"/>
      <w:ind w:left="420"/>
      <w:jc w:val="distribute"/>
    </w:pPr>
    <w:rPr>
      <w:rFonts w:ascii="宋体"/>
      <w:b/>
      <w:bCs/>
      <w:spacing w:val="20"/>
      <w:w w:val="148"/>
      <w:sz w:val="48"/>
    </w:rPr>
  </w:style>
  <w:style w:type="paragraph" w:customStyle="1" w:styleId="affff">
    <w:name w:val="示例后文字"/>
    <w:basedOn w:val="afff2"/>
    <w:next w:val="afff2"/>
    <w:qFormat/>
    <w:pPr>
      <w:ind w:firstLine="360"/>
    </w:pPr>
    <w:rPr>
      <w:sz w:val="18"/>
    </w:rPr>
  </w:style>
  <w:style w:type="paragraph" w:customStyle="1" w:styleId="afa">
    <w:name w:val="附录二级条标题"/>
    <w:basedOn w:val="aff1"/>
    <w:next w:val="afff2"/>
    <w:qFormat/>
    <w:pPr>
      <w:widowControl/>
      <w:numPr>
        <w:ilvl w:val="3"/>
        <w:numId w:val="2"/>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affff0">
    <w:name w:val="封面标准名称"/>
    <w:qFormat/>
    <w:pPr>
      <w:framePr w:w="9639" w:h="6917" w:hRule="exact" w:wrap="around" w:vAnchor="page" w:hAnchor="page" w:xAlign="center" w:y="6408" w:anchorLock="1"/>
      <w:widowControl w:val="0"/>
      <w:spacing w:line="680" w:lineRule="exact"/>
      <w:ind w:left="420"/>
      <w:jc w:val="center"/>
      <w:textAlignment w:val="center"/>
    </w:pPr>
    <w:rPr>
      <w:rFonts w:ascii="黑体" w:eastAsia="黑体"/>
      <w:sz w:val="52"/>
    </w:rPr>
  </w:style>
  <w:style w:type="paragraph" w:customStyle="1" w:styleId="a9">
    <w:name w:val="注×：（正文）"/>
    <w:qFormat/>
    <w:pPr>
      <w:numPr>
        <w:numId w:val="6"/>
      </w:numPr>
      <w:jc w:val="both"/>
    </w:pPr>
    <w:rPr>
      <w:rFonts w:ascii="宋体"/>
      <w:sz w:val="18"/>
      <w:szCs w:val="18"/>
    </w:rPr>
  </w:style>
  <w:style w:type="paragraph" w:customStyle="1" w:styleId="ad">
    <w:name w:val="列项——（一级）"/>
    <w:qFormat/>
    <w:pPr>
      <w:widowControl w:val="0"/>
      <w:numPr>
        <w:numId w:val="7"/>
      </w:numPr>
      <w:jc w:val="both"/>
    </w:pPr>
    <w:rPr>
      <w:rFonts w:ascii="宋体"/>
      <w:sz w:val="21"/>
    </w:rPr>
  </w:style>
  <w:style w:type="paragraph" w:customStyle="1" w:styleId="affff1">
    <w:name w:val="五级无"/>
    <w:basedOn w:val="a3"/>
    <w:qFormat/>
    <w:pPr>
      <w:spacing w:beforeLines="0" w:afterLines="0"/>
    </w:pPr>
    <w:rPr>
      <w:rFonts w:ascii="宋体" w:eastAsia="宋体"/>
    </w:rPr>
  </w:style>
  <w:style w:type="paragraph" w:customStyle="1" w:styleId="affff2">
    <w:name w:val="其他实施日期"/>
    <w:basedOn w:val="affff3"/>
    <w:qFormat/>
    <w:pPr>
      <w:framePr w:wrap="around"/>
    </w:pPr>
  </w:style>
  <w:style w:type="paragraph" w:customStyle="1" w:styleId="affff3">
    <w:name w:val="实施日期"/>
    <w:basedOn w:val="affff4"/>
    <w:qFormat/>
    <w:pPr>
      <w:framePr w:wrap="around" w:vAnchor="page" w:hAnchor="text"/>
      <w:jc w:val="right"/>
    </w:pPr>
  </w:style>
  <w:style w:type="paragraph" w:customStyle="1" w:styleId="affff4">
    <w:name w:val="发布日期"/>
    <w:qFormat/>
    <w:pPr>
      <w:framePr w:w="3997" w:h="471" w:hRule="exact" w:vSpace="181" w:wrap="around" w:hAnchor="page" w:x="7089" w:y="14097" w:anchorLock="1"/>
      <w:ind w:left="420"/>
      <w:jc w:val="both"/>
    </w:pPr>
    <w:rPr>
      <w:rFonts w:eastAsia="黑体"/>
      <w:sz w:val="28"/>
    </w:rPr>
  </w:style>
  <w:style w:type="paragraph" w:customStyle="1" w:styleId="afd">
    <w:name w:val="附录五级条标题"/>
    <w:basedOn w:val="afc"/>
    <w:next w:val="afff2"/>
    <w:qFormat/>
    <w:pPr>
      <w:numPr>
        <w:ilvl w:val="6"/>
      </w:numPr>
      <w:outlineLvl w:val="6"/>
    </w:pPr>
  </w:style>
  <w:style w:type="paragraph" w:customStyle="1" w:styleId="afc">
    <w:name w:val="附录四级条标题"/>
    <w:basedOn w:val="afb"/>
    <w:next w:val="afff2"/>
    <w:qFormat/>
    <w:pPr>
      <w:numPr>
        <w:ilvl w:val="5"/>
      </w:numPr>
      <w:outlineLvl w:val="5"/>
    </w:pPr>
  </w:style>
  <w:style w:type="paragraph" w:customStyle="1" w:styleId="afb">
    <w:name w:val="附录三级条标题"/>
    <w:basedOn w:val="afa"/>
    <w:next w:val="afff2"/>
    <w:qFormat/>
    <w:pPr>
      <w:numPr>
        <w:ilvl w:val="4"/>
      </w:numPr>
      <w:outlineLvl w:val="4"/>
    </w:pPr>
  </w:style>
  <w:style w:type="paragraph" w:customStyle="1" w:styleId="affff5">
    <w:name w:val="封面一致性程度标识"/>
    <w:basedOn w:val="affff6"/>
    <w:qFormat/>
    <w:pPr>
      <w:framePr w:wrap="around"/>
      <w:spacing w:before="440"/>
    </w:pPr>
    <w:rPr>
      <w:rFonts w:ascii="宋体" w:eastAsia="宋体"/>
    </w:rPr>
  </w:style>
  <w:style w:type="paragraph" w:customStyle="1" w:styleId="affff6">
    <w:name w:val="封面标准英文名称"/>
    <w:basedOn w:val="affff0"/>
    <w:qFormat/>
    <w:pPr>
      <w:framePr w:wrap="around"/>
      <w:spacing w:before="370" w:line="400" w:lineRule="exact"/>
    </w:pPr>
    <w:rPr>
      <w:rFonts w:ascii="Times New Roman"/>
      <w:sz w:val="28"/>
      <w:szCs w:val="28"/>
    </w:rPr>
  </w:style>
  <w:style w:type="paragraph" w:customStyle="1" w:styleId="affff7">
    <w:name w:val="其他标准标志"/>
    <w:basedOn w:val="affff8"/>
    <w:qFormat/>
    <w:pPr>
      <w:framePr w:w="6101" w:wrap="around" w:vAnchor="page" w:hAnchor="page" w:x="4673" w:y="942"/>
    </w:pPr>
    <w:rPr>
      <w:w w:val="130"/>
    </w:rPr>
  </w:style>
  <w:style w:type="paragraph" w:customStyle="1" w:styleId="affff8">
    <w:name w:val="标准标志"/>
    <w:next w:val="aff1"/>
    <w:qFormat/>
    <w:pPr>
      <w:framePr w:w="2546" w:h="1389" w:hRule="exact" w:hSpace="181" w:vSpace="181" w:wrap="around" w:hAnchor="margin" w:x="6522" w:y="398" w:anchorLock="1"/>
      <w:shd w:val="solid" w:color="FFFFFF" w:fill="FFFFFF"/>
      <w:spacing w:line="0" w:lineRule="atLeast"/>
      <w:ind w:left="420"/>
      <w:jc w:val="right"/>
    </w:pPr>
    <w:rPr>
      <w:b/>
      <w:w w:val="170"/>
      <w:sz w:val="96"/>
      <w:szCs w:val="96"/>
    </w:rPr>
  </w:style>
  <w:style w:type="paragraph" w:customStyle="1" w:styleId="affff9">
    <w:name w:val="封面标准文稿类别"/>
    <w:basedOn w:val="affff5"/>
    <w:qFormat/>
    <w:pPr>
      <w:framePr w:wrap="around"/>
      <w:spacing w:after="160" w:line="240" w:lineRule="auto"/>
    </w:pPr>
    <w:rPr>
      <w:sz w:val="24"/>
    </w:rPr>
  </w:style>
  <w:style w:type="paragraph" w:customStyle="1" w:styleId="13">
    <w:name w:val="修订1"/>
    <w:uiPriority w:val="99"/>
    <w:semiHidden/>
    <w:qFormat/>
    <w:pPr>
      <w:ind w:left="420"/>
      <w:jc w:val="both"/>
    </w:pPr>
    <w:rPr>
      <w:kern w:val="2"/>
      <w:sz w:val="21"/>
      <w:szCs w:val="24"/>
    </w:rPr>
  </w:style>
  <w:style w:type="paragraph" w:customStyle="1" w:styleId="af3">
    <w:name w:val="示例×："/>
    <w:basedOn w:val="a"/>
    <w:qFormat/>
    <w:pPr>
      <w:numPr>
        <w:numId w:val="8"/>
      </w:numPr>
      <w:spacing w:beforeLines="0" w:afterLines="0"/>
      <w:outlineLvl w:val="9"/>
    </w:pPr>
    <w:rPr>
      <w:rFonts w:ascii="宋体" w:eastAsia="宋体"/>
      <w:sz w:val="18"/>
      <w:szCs w:val="18"/>
    </w:rPr>
  </w:style>
  <w:style w:type="paragraph" w:customStyle="1" w:styleId="a">
    <w:name w:val="章标题"/>
    <w:next w:val="afff2"/>
    <w:qFormat/>
    <w:pPr>
      <w:numPr>
        <w:numId w:val="5"/>
      </w:numPr>
      <w:spacing w:beforeLines="100" w:afterLines="100"/>
      <w:jc w:val="both"/>
      <w:outlineLvl w:val="1"/>
    </w:pPr>
    <w:rPr>
      <w:rFonts w:ascii="黑体" w:eastAsia="黑体"/>
      <w:sz w:val="21"/>
    </w:rPr>
  </w:style>
  <w:style w:type="paragraph" w:customStyle="1" w:styleId="af7">
    <w:name w:val="附录标识"/>
    <w:basedOn w:val="aff1"/>
    <w:next w:val="afff2"/>
    <w:qFormat/>
    <w:pPr>
      <w:keepNext/>
      <w:widowControl/>
      <w:numPr>
        <w:numId w:val="2"/>
      </w:numPr>
      <w:shd w:val="clear" w:color="FFFFFF" w:fill="FFFFFF"/>
      <w:tabs>
        <w:tab w:val="left" w:pos="6405"/>
      </w:tabs>
      <w:spacing w:before="640" w:after="280"/>
      <w:jc w:val="center"/>
      <w:outlineLvl w:val="0"/>
    </w:pPr>
    <w:rPr>
      <w:rFonts w:ascii="黑体" w:eastAsia="黑体"/>
      <w:kern w:val="0"/>
      <w:szCs w:val="20"/>
    </w:rPr>
  </w:style>
  <w:style w:type="paragraph" w:customStyle="1" w:styleId="affffa">
    <w:name w:val="附录标题"/>
    <w:basedOn w:val="afff2"/>
    <w:next w:val="afff2"/>
    <w:qFormat/>
    <w:pPr>
      <w:ind w:firstLineChars="0" w:firstLine="0"/>
      <w:jc w:val="center"/>
    </w:pPr>
    <w:rPr>
      <w:rFonts w:ascii="黑体" w:eastAsia="黑体"/>
    </w:rPr>
  </w:style>
  <w:style w:type="paragraph" w:customStyle="1" w:styleId="affffb">
    <w:name w:val="标准书脚_偶数页"/>
    <w:qFormat/>
    <w:pPr>
      <w:spacing w:before="120"/>
      <w:ind w:left="221"/>
      <w:jc w:val="both"/>
    </w:pPr>
    <w:rPr>
      <w:rFonts w:ascii="宋体"/>
      <w:sz w:val="18"/>
      <w:szCs w:val="18"/>
    </w:rPr>
  </w:style>
  <w:style w:type="paragraph" w:customStyle="1" w:styleId="affffc">
    <w:name w:val="前言、引言标题"/>
    <w:next w:val="afff2"/>
    <w:qFormat/>
    <w:pPr>
      <w:keepNext/>
      <w:pageBreakBefore/>
      <w:shd w:val="clear" w:color="FFFFFF" w:fill="FFFFFF"/>
      <w:spacing w:before="640" w:after="560"/>
      <w:ind w:left="420"/>
      <w:jc w:val="center"/>
      <w:outlineLvl w:val="0"/>
    </w:pPr>
    <w:rPr>
      <w:rFonts w:ascii="黑体" w:eastAsia="黑体"/>
      <w:sz w:val="32"/>
    </w:rPr>
  </w:style>
  <w:style w:type="paragraph" w:customStyle="1" w:styleId="afe">
    <w:name w:val="附录字母编号列项（一级）"/>
    <w:qFormat/>
    <w:pPr>
      <w:numPr>
        <w:numId w:val="3"/>
      </w:numPr>
      <w:jc w:val="both"/>
    </w:pPr>
    <w:rPr>
      <w:rFonts w:ascii="宋体"/>
      <w:sz w:val="21"/>
    </w:rPr>
  </w:style>
  <w:style w:type="paragraph" w:customStyle="1" w:styleId="affffd">
    <w:name w:val="附录五级无"/>
    <w:basedOn w:val="afd"/>
    <w:qFormat/>
    <w:pPr>
      <w:tabs>
        <w:tab w:val="clear" w:pos="360"/>
      </w:tabs>
      <w:spacing w:beforeLines="0" w:afterLines="0"/>
    </w:pPr>
    <w:rPr>
      <w:rFonts w:ascii="宋体" w:eastAsia="宋体"/>
      <w:szCs w:val="21"/>
    </w:rPr>
  </w:style>
  <w:style w:type="paragraph" w:customStyle="1" w:styleId="affffe">
    <w:name w:val="三级无"/>
    <w:basedOn w:val="afffd"/>
    <w:qFormat/>
    <w:pPr>
      <w:spacing w:beforeLines="0" w:afterLines="0"/>
    </w:pPr>
    <w:rPr>
      <w:rFonts w:ascii="宋体" w:eastAsia="宋体"/>
    </w:rPr>
  </w:style>
  <w:style w:type="paragraph" w:customStyle="1" w:styleId="af5">
    <w:name w:val="附录表标题"/>
    <w:basedOn w:val="aff1"/>
    <w:next w:val="afff2"/>
    <w:qFormat/>
    <w:pPr>
      <w:numPr>
        <w:ilvl w:val="1"/>
        <w:numId w:val="9"/>
      </w:numPr>
      <w:tabs>
        <w:tab w:val="left" w:pos="180"/>
      </w:tabs>
      <w:spacing w:beforeLines="50" w:afterLines="50"/>
      <w:ind w:left="0" w:firstLine="0"/>
      <w:jc w:val="center"/>
    </w:pPr>
    <w:rPr>
      <w:rFonts w:ascii="黑体" w:eastAsia="黑体"/>
      <w:szCs w:val="21"/>
    </w:rPr>
  </w:style>
  <w:style w:type="paragraph" w:customStyle="1" w:styleId="afffff">
    <w:name w:val="目次、索引正文"/>
    <w:qFormat/>
    <w:pPr>
      <w:spacing w:line="320" w:lineRule="exact"/>
      <w:ind w:left="420"/>
      <w:jc w:val="both"/>
    </w:pPr>
    <w:rPr>
      <w:rFonts w:ascii="宋体"/>
      <w:sz w:val="21"/>
    </w:rPr>
  </w:style>
  <w:style w:type="paragraph" w:customStyle="1" w:styleId="Bodytext1">
    <w:name w:val="Body text|1"/>
    <w:basedOn w:val="aff1"/>
    <w:qFormat/>
    <w:pPr>
      <w:spacing w:after="140" w:line="307" w:lineRule="auto"/>
      <w:ind w:firstLine="400"/>
    </w:pPr>
    <w:rPr>
      <w:rFonts w:ascii="宋体" w:hAnsi="宋体" w:cs="宋体"/>
      <w:color w:val="323232"/>
      <w:sz w:val="40"/>
      <w:szCs w:val="40"/>
      <w:lang w:val="zh-TW" w:eastAsia="zh-TW" w:bidi="zh-TW"/>
    </w:rPr>
  </w:style>
  <w:style w:type="paragraph" w:customStyle="1" w:styleId="afffff0">
    <w:name w:val="封面标准代替信息"/>
    <w:qFormat/>
    <w:pPr>
      <w:framePr w:w="9140" w:h="1242" w:hRule="exact" w:hSpace="284" w:wrap="around" w:vAnchor="page" w:hAnchor="page" w:x="1645" w:y="2910" w:anchorLock="1"/>
      <w:spacing w:before="57" w:line="280" w:lineRule="exact"/>
      <w:ind w:left="420"/>
      <w:jc w:val="right"/>
    </w:pPr>
    <w:rPr>
      <w:rFonts w:ascii="宋体"/>
      <w:sz w:val="21"/>
      <w:szCs w:val="21"/>
    </w:rPr>
  </w:style>
  <w:style w:type="paragraph" w:customStyle="1" w:styleId="afffff1">
    <w:name w:val="附录一级无"/>
    <w:basedOn w:val="af9"/>
    <w:qFormat/>
    <w:pPr>
      <w:tabs>
        <w:tab w:val="clear" w:pos="360"/>
      </w:tabs>
      <w:spacing w:beforeLines="0" w:afterLines="0"/>
    </w:pPr>
    <w:rPr>
      <w:rFonts w:ascii="宋体" w:eastAsia="宋体"/>
      <w:szCs w:val="21"/>
    </w:rPr>
  </w:style>
  <w:style w:type="paragraph" w:customStyle="1" w:styleId="afffff2">
    <w:name w:val="正文公式编号制表符"/>
    <w:basedOn w:val="afff2"/>
    <w:next w:val="afff2"/>
    <w:qFormat/>
    <w:pPr>
      <w:ind w:firstLineChars="0" w:firstLine="0"/>
    </w:pPr>
  </w:style>
  <w:style w:type="paragraph" w:customStyle="1" w:styleId="afffff3">
    <w:name w:val="附录公式"/>
    <w:basedOn w:val="afff2"/>
    <w:next w:val="afff2"/>
    <w:link w:val="Char0"/>
    <w:qFormat/>
  </w:style>
  <w:style w:type="paragraph" w:customStyle="1" w:styleId="afffff4">
    <w:name w:val="标准书眉_奇数页"/>
    <w:next w:val="aff1"/>
    <w:qFormat/>
    <w:pPr>
      <w:tabs>
        <w:tab w:val="center" w:pos="4154"/>
        <w:tab w:val="right" w:pos="8306"/>
      </w:tabs>
      <w:spacing w:after="220"/>
      <w:ind w:left="420"/>
      <w:jc w:val="right"/>
    </w:pPr>
    <w:rPr>
      <w:rFonts w:ascii="黑体" w:eastAsia="黑体"/>
      <w:sz w:val="21"/>
      <w:szCs w:val="21"/>
    </w:rPr>
  </w:style>
  <w:style w:type="paragraph" w:customStyle="1" w:styleId="af4">
    <w:name w:val="附录表标号"/>
    <w:basedOn w:val="aff1"/>
    <w:next w:val="afff2"/>
    <w:qFormat/>
    <w:pPr>
      <w:numPr>
        <w:numId w:val="9"/>
      </w:numPr>
      <w:tabs>
        <w:tab w:val="clear" w:pos="0"/>
      </w:tabs>
      <w:spacing w:line="14" w:lineRule="exact"/>
      <w:ind w:left="811" w:hanging="448"/>
      <w:jc w:val="center"/>
      <w:outlineLvl w:val="0"/>
    </w:pPr>
    <w:rPr>
      <w:color w:val="FFFFFF"/>
    </w:rPr>
  </w:style>
  <w:style w:type="paragraph" w:customStyle="1" w:styleId="afffff5">
    <w:name w:val="二级无"/>
    <w:basedOn w:val="a1"/>
    <w:qFormat/>
    <w:pPr>
      <w:spacing w:beforeLines="0" w:afterLines="0"/>
    </w:pPr>
    <w:rPr>
      <w:rFonts w:ascii="宋体" w:eastAsia="宋体"/>
    </w:rPr>
  </w:style>
  <w:style w:type="paragraph" w:customStyle="1" w:styleId="TOC1">
    <w:name w:val="TOC 标题1"/>
    <w:basedOn w:val="1"/>
    <w:next w:val="aff1"/>
    <w:uiPriority w:val="39"/>
    <w:unhideWhenUsed/>
    <w:qFormat/>
    <w:pPr>
      <w:widowControl/>
      <w:spacing w:before="480" w:after="0" w:line="276" w:lineRule="auto"/>
      <w:jc w:val="left"/>
      <w:outlineLvl w:val="9"/>
    </w:pPr>
    <w:rPr>
      <w:rFonts w:ascii="Cambria" w:hAnsi="Cambria"/>
      <w:color w:val="366091"/>
      <w:kern w:val="0"/>
      <w:sz w:val="28"/>
      <w:szCs w:val="28"/>
    </w:rPr>
  </w:style>
  <w:style w:type="paragraph" w:customStyle="1" w:styleId="afffff6">
    <w:name w:val="图的脚注"/>
    <w:next w:val="afff2"/>
    <w:qFormat/>
    <w:pPr>
      <w:widowControl w:val="0"/>
      <w:ind w:leftChars="200" w:left="840" w:hangingChars="200" w:hanging="420"/>
      <w:jc w:val="both"/>
    </w:pPr>
    <w:rPr>
      <w:rFonts w:ascii="宋体"/>
      <w:sz w:val="18"/>
    </w:rPr>
  </w:style>
  <w:style w:type="paragraph" w:customStyle="1" w:styleId="afffff7">
    <w:name w:val="编号列项（三级）"/>
    <w:qFormat/>
    <w:pPr>
      <w:ind w:left="420"/>
      <w:jc w:val="both"/>
    </w:pPr>
    <w:rPr>
      <w:rFonts w:ascii="宋体"/>
      <w:sz w:val="21"/>
    </w:rPr>
  </w:style>
  <w:style w:type="paragraph" w:customStyle="1" w:styleId="afffff8">
    <w:name w:val="图标脚注说明"/>
    <w:basedOn w:val="afff2"/>
    <w:qFormat/>
    <w:pPr>
      <w:ind w:left="840" w:firstLineChars="0" w:hanging="420"/>
    </w:pPr>
    <w:rPr>
      <w:sz w:val="18"/>
      <w:szCs w:val="18"/>
    </w:rPr>
  </w:style>
  <w:style w:type="paragraph" w:customStyle="1" w:styleId="af6">
    <w:name w:val="正文表标题"/>
    <w:next w:val="afff2"/>
    <w:qFormat/>
    <w:pPr>
      <w:numPr>
        <w:numId w:val="10"/>
      </w:numPr>
      <w:tabs>
        <w:tab w:val="left" w:pos="360"/>
      </w:tabs>
      <w:spacing w:beforeLines="50" w:afterLines="50"/>
      <w:ind w:left="0"/>
      <w:jc w:val="center"/>
    </w:pPr>
    <w:rPr>
      <w:rFonts w:ascii="黑体" w:eastAsia="黑体"/>
      <w:sz w:val="21"/>
    </w:rPr>
  </w:style>
  <w:style w:type="paragraph" w:customStyle="1" w:styleId="afffff9">
    <w:name w:val="终结线"/>
    <w:basedOn w:val="aff1"/>
    <w:qFormat/>
    <w:pPr>
      <w:framePr w:hSpace="181" w:vSpace="181" w:wrap="around" w:vAnchor="text" w:hAnchor="margin" w:xAlign="center" w:y="285"/>
    </w:pPr>
  </w:style>
  <w:style w:type="paragraph" w:customStyle="1" w:styleId="afffffa">
    <w:name w:val="附录四级无"/>
    <w:basedOn w:val="afc"/>
    <w:qFormat/>
    <w:pPr>
      <w:tabs>
        <w:tab w:val="clear" w:pos="360"/>
      </w:tabs>
      <w:spacing w:beforeLines="0" w:afterLines="0"/>
    </w:pPr>
    <w:rPr>
      <w:rFonts w:ascii="宋体" w:eastAsia="宋体"/>
      <w:szCs w:val="21"/>
    </w:rPr>
  </w:style>
  <w:style w:type="paragraph" w:customStyle="1" w:styleId="afffffb">
    <w:name w:val="其他标准称谓"/>
    <w:next w:val="aff1"/>
    <w:qFormat/>
    <w:pPr>
      <w:framePr w:hSpace="181" w:vSpace="181" w:wrap="around" w:vAnchor="page" w:hAnchor="page" w:x="1419" w:y="2286" w:anchorLock="1"/>
      <w:spacing w:line="0" w:lineRule="atLeast"/>
      <w:ind w:left="420"/>
      <w:jc w:val="distribute"/>
    </w:pPr>
    <w:rPr>
      <w:rFonts w:ascii="黑体" w:eastAsia="黑体" w:hAnsi="宋体"/>
      <w:spacing w:val="-40"/>
      <w:sz w:val="48"/>
      <w:szCs w:val="52"/>
    </w:rPr>
  </w:style>
  <w:style w:type="paragraph" w:customStyle="1" w:styleId="afffffc">
    <w:name w:val="参考文献、索引标题"/>
    <w:basedOn w:val="aff1"/>
    <w:next w:val="afff2"/>
    <w:qFormat/>
    <w:pPr>
      <w:keepNext/>
      <w:pageBreakBefore/>
      <w:widowControl/>
      <w:shd w:val="clear" w:color="FFFFFF" w:fill="FFFFFF"/>
      <w:spacing w:before="640" w:after="200"/>
      <w:jc w:val="center"/>
      <w:outlineLvl w:val="0"/>
    </w:pPr>
    <w:rPr>
      <w:rFonts w:ascii="黑体" w:eastAsia="黑体"/>
      <w:kern w:val="0"/>
      <w:szCs w:val="20"/>
    </w:rPr>
  </w:style>
  <w:style w:type="paragraph" w:customStyle="1" w:styleId="Headerorfooter1">
    <w:name w:val="Header or footer|1"/>
    <w:basedOn w:val="aff1"/>
    <w:qFormat/>
    <w:rPr>
      <w:rFonts w:ascii="宋体" w:hAnsi="宋体" w:cs="宋体"/>
      <w:sz w:val="46"/>
      <w:szCs w:val="46"/>
    </w:rPr>
  </w:style>
  <w:style w:type="paragraph" w:customStyle="1" w:styleId="WPSOffice2">
    <w:name w:val="WPSOffice手动目录 2"/>
    <w:qFormat/>
    <w:pPr>
      <w:ind w:leftChars="200" w:left="200"/>
    </w:pPr>
    <w:rPr>
      <w:rFonts w:ascii="Calibri" w:hAnsi="Calibri"/>
    </w:rPr>
  </w:style>
  <w:style w:type="paragraph" w:customStyle="1" w:styleId="afffffd">
    <w:name w:val="附录三级无"/>
    <w:basedOn w:val="afb"/>
    <w:qFormat/>
    <w:pPr>
      <w:tabs>
        <w:tab w:val="clear" w:pos="360"/>
      </w:tabs>
      <w:spacing w:beforeLines="0" w:afterLines="0"/>
    </w:pPr>
    <w:rPr>
      <w:rFonts w:ascii="宋体" w:eastAsia="宋体"/>
      <w:szCs w:val="21"/>
    </w:rPr>
  </w:style>
  <w:style w:type="paragraph" w:customStyle="1" w:styleId="WPSOffice1">
    <w:name w:val="WPSOffice手动目录 1"/>
    <w:qFormat/>
    <w:rPr>
      <w:rFonts w:ascii="Calibri" w:hAnsi="Calibri"/>
    </w:rPr>
  </w:style>
  <w:style w:type="paragraph" w:customStyle="1" w:styleId="afffffe">
    <w:name w:val="标准书眉一"/>
    <w:qFormat/>
    <w:pPr>
      <w:ind w:left="420"/>
      <w:jc w:val="both"/>
    </w:pPr>
  </w:style>
  <w:style w:type="paragraph" w:customStyle="1" w:styleId="affffff">
    <w:name w:val="封面正文"/>
    <w:qFormat/>
    <w:pPr>
      <w:ind w:left="420"/>
      <w:jc w:val="both"/>
    </w:pPr>
  </w:style>
  <w:style w:type="paragraph" w:customStyle="1" w:styleId="affffff0">
    <w:name w:val="附录公式编号制表符"/>
    <w:basedOn w:val="aff1"/>
    <w:next w:val="afff2"/>
    <w:qFormat/>
    <w:pPr>
      <w:widowControl/>
      <w:tabs>
        <w:tab w:val="center" w:pos="4201"/>
        <w:tab w:val="right" w:leader="dot" w:pos="9298"/>
      </w:tabs>
      <w:autoSpaceDE w:val="0"/>
      <w:autoSpaceDN w:val="0"/>
    </w:pPr>
    <w:rPr>
      <w:rFonts w:ascii="宋体"/>
      <w:kern w:val="0"/>
      <w:szCs w:val="20"/>
    </w:rPr>
  </w:style>
  <w:style w:type="paragraph" w:customStyle="1" w:styleId="affffff1">
    <w:name w:val="标准书脚_奇数页"/>
    <w:qFormat/>
    <w:pPr>
      <w:spacing w:before="120"/>
      <w:ind w:left="420" w:right="198"/>
      <w:jc w:val="right"/>
    </w:pPr>
    <w:rPr>
      <w:rFonts w:ascii="宋体"/>
      <w:sz w:val="18"/>
      <w:szCs w:val="18"/>
    </w:rPr>
  </w:style>
  <w:style w:type="paragraph" w:customStyle="1" w:styleId="ab">
    <w:name w:val="附录图标号"/>
    <w:basedOn w:val="aff1"/>
    <w:qFormat/>
    <w:pPr>
      <w:keepNext/>
      <w:pageBreakBefore/>
      <w:widowControl/>
      <w:numPr>
        <w:numId w:val="4"/>
      </w:numPr>
      <w:spacing w:line="14" w:lineRule="exact"/>
      <w:ind w:left="0" w:firstLine="363"/>
      <w:jc w:val="center"/>
      <w:outlineLvl w:val="0"/>
    </w:pPr>
    <w:rPr>
      <w:color w:val="FFFFFF"/>
    </w:rPr>
  </w:style>
  <w:style w:type="paragraph" w:customStyle="1" w:styleId="affffff2">
    <w:name w:val="参考文献"/>
    <w:basedOn w:val="aff1"/>
    <w:next w:val="afff2"/>
    <w:qFormat/>
    <w:pPr>
      <w:keepNext/>
      <w:pageBreakBefore/>
      <w:widowControl/>
      <w:shd w:val="clear" w:color="FFFFFF" w:fill="FFFFFF"/>
      <w:spacing w:before="640" w:after="200"/>
      <w:jc w:val="center"/>
      <w:outlineLvl w:val="0"/>
    </w:pPr>
    <w:rPr>
      <w:rFonts w:ascii="黑体" w:eastAsia="黑体"/>
      <w:kern w:val="0"/>
      <w:szCs w:val="20"/>
    </w:rPr>
  </w:style>
  <w:style w:type="paragraph" w:customStyle="1" w:styleId="a6">
    <w:name w:val="示例"/>
    <w:next w:val="affffff3"/>
    <w:qFormat/>
    <w:pPr>
      <w:widowControl w:val="0"/>
      <w:numPr>
        <w:numId w:val="11"/>
      </w:numPr>
      <w:jc w:val="both"/>
    </w:pPr>
    <w:rPr>
      <w:rFonts w:ascii="宋体"/>
      <w:sz w:val="18"/>
      <w:szCs w:val="18"/>
    </w:rPr>
  </w:style>
  <w:style w:type="paragraph" w:customStyle="1" w:styleId="affffff3">
    <w:name w:val="示例内容"/>
    <w:qFormat/>
    <w:pPr>
      <w:ind w:left="420" w:firstLineChars="200" w:firstLine="200"/>
      <w:jc w:val="both"/>
    </w:pPr>
    <w:rPr>
      <w:rFonts w:ascii="宋体"/>
      <w:sz w:val="18"/>
      <w:szCs w:val="18"/>
    </w:rPr>
  </w:style>
  <w:style w:type="paragraph" w:customStyle="1" w:styleId="af">
    <w:name w:val="列项◆（三级）"/>
    <w:basedOn w:val="aff1"/>
    <w:qFormat/>
    <w:pPr>
      <w:numPr>
        <w:ilvl w:val="2"/>
        <w:numId w:val="7"/>
      </w:numPr>
    </w:pPr>
    <w:rPr>
      <w:rFonts w:ascii="宋体"/>
      <w:szCs w:val="21"/>
    </w:rPr>
  </w:style>
  <w:style w:type="paragraph" w:customStyle="1" w:styleId="aff0">
    <w:name w:val="注："/>
    <w:next w:val="afff2"/>
    <w:qFormat/>
    <w:pPr>
      <w:widowControl w:val="0"/>
      <w:numPr>
        <w:numId w:val="12"/>
      </w:numPr>
      <w:autoSpaceDE w:val="0"/>
      <w:autoSpaceDN w:val="0"/>
      <w:jc w:val="both"/>
    </w:pPr>
    <w:rPr>
      <w:rFonts w:ascii="宋体"/>
      <w:sz w:val="18"/>
      <w:szCs w:val="18"/>
    </w:rPr>
  </w:style>
  <w:style w:type="paragraph" w:customStyle="1" w:styleId="affffff4">
    <w:name w:val="列项说明"/>
    <w:basedOn w:val="aff1"/>
    <w:qFormat/>
    <w:pPr>
      <w:adjustRightInd w:val="0"/>
      <w:spacing w:line="320" w:lineRule="exact"/>
      <w:ind w:leftChars="200" w:left="400" w:hangingChars="200" w:hanging="200"/>
      <w:jc w:val="left"/>
      <w:textAlignment w:val="baseline"/>
    </w:pPr>
    <w:rPr>
      <w:rFonts w:ascii="宋体"/>
      <w:kern w:val="0"/>
      <w:szCs w:val="20"/>
    </w:rPr>
  </w:style>
  <w:style w:type="paragraph" w:customStyle="1" w:styleId="a8">
    <w:name w:val="图表脚注说明"/>
    <w:basedOn w:val="aff1"/>
    <w:qFormat/>
    <w:pPr>
      <w:numPr>
        <w:numId w:val="13"/>
      </w:numPr>
    </w:pPr>
    <w:rPr>
      <w:rFonts w:ascii="宋体"/>
      <w:sz w:val="18"/>
      <w:szCs w:val="18"/>
    </w:rPr>
  </w:style>
  <w:style w:type="paragraph" w:customStyle="1" w:styleId="22">
    <w:name w:val="封面标准号2"/>
    <w:qFormat/>
    <w:pPr>
      <w:framePr w:w="9140" w:h="1242" w:hRule="exact" w:hSpace="284" w:wrap="around" w:vAnchor="page" w:hAnchor="page" w:x="1645" w:y="2910" w:anchorLock="1"/>
      <w:spacing w:before="357" w:line="280" w:lineRule="exact"/>
      <w:ind w:left="420"/>
      <w:jc w:val="right"/>
    </w:pPr>
    <w:rPr>
      <w:rFonts w:ascii="黑体" w:eastAsia="黑体"/>
      <w:sz w:val="28"/>
      <w:szCs w:val="28"/>
    </w:rPr>
  </w:style>
  <w:style w:type="paragraph" w:customStyle="1" w:styleId="affffff5">
    <w:name w:val="其他发布日期"/>
    <w:basedOn w:val="affff4"/>
    <w:qFormat/>
    <w:pPr>
      <w:framePr w:wrap="around" w:vAnchor="page" w:hAnchor="text" w:x="1419"/>
    </w:pPr>
  </w:style>
  <w:style w:type="paragraph" w:customStyle="1" w:styleId="affffff6">
    <w:name w:val="附录二级无"/>
    <w:basedOn w:val="afa"/>
    <w:qFormat/>
    <w:pPr>
      <w:tabs>
        <w:tab w:val="clear" w:pos="360"/>
      </w:tabs>
      <w:spacing w:beforeLines="0" w:afterLines="0"/>
    </w:pPr>
    <w:rPr>
      <w:rFonts w:ascii="宋体" w:eastAsia="宋体"/>
      <w:szCs w:val="21"/>
    </w:rPr>
  </w:style>
  <w:style w:type="paragraph" w:customStyle="1" w:styleId="23">
    <w:name w:val="封面标准文稿类别2"/>
    <w:basedOn w:val="affff9"/>
    <w:qFormat/>
    <w:pPr>
      <w:framePr w:wrap="around" w:y="4469"/>
    </w:pPr>
  </w:style>
  <w:style w:type="paragraph" w:customStyle="1" w:styleId="affffff7">
    <w:name w:val="标准书眉_偶数页"/>
    <w:basedOn w:val="afffff4"/>
    <w:next w:val="aff1"/>
    <w:qFormat/>
    <w:pPr>
      <w:jc w:val="left"/>
    </w:pPr>
  </w:style>
  <w:style w:type="paragraph" w:customStyle="1" w:styleId="14">
    <w:name w:val="无间隔1"/>
    <w:uiPriority w:val="1"/>
    <w:qFormat/>
    <w:pPr>
      <w:widowControl w:val="0"/>
      <w:ind w:left="420"/>
      <w:jc w:val="both"/>
    </w:pPr>
    <w:rPr>
      <w:kern w:val="2"/>
      <w:sz w:val="21"/>
      <w:szCs w:val="24"/>
    </w:rPr>
  </w:style>
  <w:style w:type="paragraph" w:customStyle="1" w:styleId="ae">
    <w:name w:val="列项●（二级）"/>
    <w:qFormat/>
    <w:pPr>
      <w:numPr>
        <w:ilvl w:val="1"/>
        <w:numId w:val="7"/>
      </w:numPr>
      <w:tabs>
        <w:tab w:val="left" w:pos="840"/>
      </w:tabs>
      <w:jc w:val="both"/>
    </w:pPr>
    <w:rPr>
      <w:rFonts w:ascii="宋体"/>
      <w:sz w:val="21"/>
    </w:rPr>
  </w:style>
  <w:style w:type="paragraph" w:customStyle="1" w:styleId="affffff8">
    <w:name w:val="发布部门"/>
    <w:next w:val="afff2"/>
    <w:qFormat/>
    <w:pPr>
      <w:framePr w:w="7938" w:h="1134" w:hRule="exact" w:hSpace="125" w:vSpace="181" w:wrap="around" w:vAnchor="page" w:hAnchor="page" w:x="2150" w:y="14630" w:anchorLock="1"/>
      <w:ind w:left="420"/>
      <w:jc w:val="center"/>
    </w:pPr>
    <w:rPr>
      <w:rFonts w:ascii="宋体"/>
      <w:b/>
      <w:spacing w:val="20"/>
      <w:w w:val="135"/>
      <w:sz w:val="28"/>
    </w:rPr>
  </w:style>
  <w:style w:type="paragraph" w:customStyle="1" w:styleId="aa">
    <w:name w:val="注：（正文）"/>
    <w:basedOn w:val="aff0"/>
    <w:next w:val="afff2"/>
    <w:qFormat/>
    <w:pPr>
      <w:numPr>
        <w:numId w:val="14"/>
      </w:numPr>
      <w:ind w:left="2490"/>
    </w:pPr>
  </w:style>
  <w:style w:type="paragraph" w:customStyle="1" w:styleId="affffff9">
    <w:name w:val="封面标准文稿编辑信息"/>
    <w:basedOn w:val="affff9"/>
    <w:qFormat/>
    <w:pPr>
      <w:framePr w:wrap="around"/>
      <w:spacing w:before="180" w:line="180" w:lineRule="exact"/>
    </w:pPr>
    <w:rPr>
      <w:sz w:val="21"/>
    </w:rPr>
  </w:style>
  <w:style w:type="paragraph" w:customStyle="1" w:styleId="affffffa">
    <w:name w:val="列项说明数字编号"/>
    <w:qFormat/>
    <w:pPr>
      <w:ind w:leftChars="400" w:left="600" w:hangingChars="200" w:hanging="200"/>
      <w:jc w:val="both"/>
    </w:pPr>
    <w:rPr>
      <w:rFonts w:ascii="宋体"/>
      <w:sz w:val="21"/>
    </w:rPr>
  </w:style>
  <w:style w:type="paragraph" w:customStyle="1" w:styleId="24">
    <w:name w:val="封面标准文稿编辑信息2"/>
    <w:basedOn w:val="affffff9"/>
    <w:qFormat/>
    <w:pPr>
      <w:framePr w:wrap="around" w:y="4469"/>
    </w:pPr>
  </w:style>
  <w:style w:type="paragraph" w:customStyle="1" w:styleId="af2">
    <w:name w:val="数字编号列项（二级）"/>
    <w:qFormat/>
    <w:pPr>
      <w:numPr>
        <w:ilvl w:val="1"/>
        <w:numId w:val="15"/>
      </w:numPr>
      <w:jc w:val="both"/>
    </w:pPr>
    <w:rPr>
      <w:rFonts w:ascii="宋体"/>
      <w:sz w:val="21"/>
    </w:rPr>
  </w:style>
  <w:style w:type="paragraph" w:customStyle="1" w:styleId="a5">
    <w:name w:val="首示例"/>
    <w:next w:val="afff2"/>
    <w:link w:val="Char1"/>
    <w:qFormat/>
    <w:pPr>
      <w:numPr>
        <w:numId w:val="16"/>
      </w:numPr>
      <w:tabs>
        <w:tab w:val="left" w:pos="360"/>
      </w:tabs>
      <w:ind w:firstLine="0"/>
      <w:jc w:val="both"/>
    </w:pPr>
    <w:rPr>
      <w:rFonts w:ascii="宋体" w:hAnsi="宋体"/>
      <w:kern w:val="2"/>
      <w:sz w:val="18"/>
      <w:szCs w:val="18"/>
    </w:rPr>
  </w:style>
  <w:style w:type="paragraph" w:customStyle="1" w:styleId="25">
    <w:name w:val="封面一致性程度标识2"/>
    <w:basedOn w:val="affff5"/>
    <w:qFormat/>
    <w:pPr>
      <w:framePr w:wrap="around" w:y="4469"/>
    </w:pPr>
  </w:style>
  <w:style w:type="paragraph" w:customStyle="1" w:styleId="affffffb">
    <w:name w:val="其他发布部门"/>
    <w:basedOn w:val="affffff8"/>
    <w:qFormat/>
    <w:pPr>
      <w:framePr w:wrap="around" w:y="15310"/>
      <w:spacing w:line="0" w:lineRule="atLeast"/>
    </w:pPr>
    <w:rPr>
      <w:rFonts w:ascii="黑体" w:eastAsia="黑体"/>
      <w:b w:val="0"/>
    </w:rPr>
  </w:style>
  <w:style w:type="paragraph" w:customStyle="1" w:styleId="15">
    <w:name w:val="封面标准号1"/>
    <w:qFormat/>
    <w:pPr>
      <w:widowControl w:val="0"/>
      <w:kinsoku w:val="0"/>
      <w:overflowPunct w:val="0"/>
      <w:autoSpaceDE w:val="0"/>
      <w:autoSpaceDN w:val="0"/>
      <w:spacing w:before="308"/>
      <w:ind w:left="420"/>
      <w:jc w:val="right"/>
      <w:textAlignment w:val="center"/>
    </w:pPr>
    <w:rPr>
      <w:sz w:val="28"/>
    </w:rPr>
  </w:style>
  <w:style w:type="paragraph" w:customStyle="1" w:styleId="affffffc">
    <w:name w:val="一级无"/>
    <w:basedOn w:val="a0"/>
    <w:qFormat/>
    <w:pPr>
      <w:spacing w:beforeLines="0" w:afterLines="0"/>
    </w:pPr>
    <w:rPr>
      <w:rFonts w:ascii="宋体" w:eastAsia="宋体"/>
    </w:rPr>
  </w:style>
  <w:style w:type="paragraph" w:customStyle="1" w:styleId="affffffd">
    <w:name w:val="目次、标准名称标题"/>
    <w:basedOn w:val="aff1"/>
    <w:next w:val="afff2"/>
    <w:qFormat/>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26">
    <w:name w:val="封面标准名称2"/>
    <w:basedOn w:val="affff0"/>
    <w:qFormat/>
    <w:pPr>
      <w:framePr w:wrap="around" w:y="4469"/>
      <w:spacing w:beforeLines="630"/>
    </w:pPr>
  </w:style>
  <w:style w:type="paragraph" w:customStyle="1" w:styleId="affffffe">
    <w:name w:val="条文脚注"/>
    <w:basedOn w:val="af0"/>
    <w:qFormat/>
    <w:pPr>
      <w:numPr>
        <w:numId w:val="0"/>
      </w:numPr>
      <w:jc w:val="both"/>
    </w:pPr>
  </w:style>
  <w:style w:type="paragraph" w:customStyle="1" w:styleId="a7">
    <w:name w:val="正文图标题"/>
    <w:next w:val="afff2"/>
    <w:qFormat/>
    <w:pPr>
      <w:numPr>
        <w:numId w:val="17"/>
      </w:numPr>
      <w:spacing w:beforeLines="50" w:afterLines="50"/>
      <w:jc w:val="center"/>
    </w:pPr>
    <w:rPr>
      <w:rFonts w:ascii="黑体" w:eastAsia="黑体"/>
      <w:sz w:val="21"/>
    </w:rPr>
  </w:style>
  <w:style w:type="paragraph" w:customStyle="1" w:styleId="af1">
    <w:name w:val="字母编号列项（一级）"/>
    <w:qFormat/>
    <w:pPr>
      <w:numPr>
        <w:numId w:val="15"/>
      </w:numPr>
      <w:jc w:val="both"/>
    </w:pPr>
    <w:rPr>
      <w:rFonts w:ascii="宋体"/>
      <w:sz w:val="21"/>
    </w:rPr>
  </w:style>
  <w:style w:type="paragraph" w:customStyle="1" w:styleId="afffffff">
    <w:name w:val="四级无"/>
    <w:basedOn w:val="a2"/>
    <w:qFormat/>
    <w:pPr>
      <w:spacing w:beforeLines="0" w:afterLines="0"/>
    </w:pPr>
    <w:rPr>
      <w:rFonts w:ascii="宋体" w:eastAsia="宋体"/>
    </w:rPr>
  </w:style>
  <w:style w:type="paragraph" w:customStyle="1" w:styleId="a4">
    <w:name w:val="注×："/>
    <w:qFormat/>
    <w:pPr>
      <w:widowControl w:val="0"/>
      <w:numPr>
        <w:numId w:val="18"/>
      </w:numPr>
      <w:autoSpaceDE w:val="0"/>
      <w:autoSpaceDN w:val="0"/>
      <w:jc w:val="both"/>
    </w:pPr>
    <w:rPr>
      <w:rFonts w:ascii="宋体"/>
      <w:sz w:val="18"/>
      <w:szCs w:val="18"/>
    </w:rPr>
  </w:style>
  <w:style w:type="paragraph" w:customStyle="1" w:styleId="afffffff0">
    <w:name w:val="文献分类号"/>
    <w:qFormat/>
    <w:pPr>
      <w:framePr w:hSpace="180" w:vSpace="180" w:wrap="around" w:hAnchor="margin" w:y="1" w:anchorLock="1"/>
      <w:widowControl w:val="0"/>
      <w:ind w:left="420"/>
      <w:jc w:val="both"/>
      <w:textAlignment w:val="center"/>
    </w:pPr>
    <w:rPr>
      <w:rFonts w:ascii="黑体" w:eastAsia="黑体"/>
      <w:sz w:val="21"/>
      <w:szCs w:val="21"/>
    </w:rPr>
  </w:style>
  <w:style w:type="paragraph" w:customStyle="1" w:styleId="27">
    <w:name w:val="封面标准英文名称2"/>
    <w:basedOn w:val="affff6"/>
    <w:qFormat/>
    <w:pPr>
      <w:framePr w:wrap="around" w:y="4469"/>
    </w:pPr>
  </w:style>
  <w:style w:type="paragraph" w:customStyle="1" w:styleId="Bodytext2">
    <w:name w:val="Body text|2"/>
    <w:basedOn w:val="aff1"/>
    <w:qFormat/>
    <w:pPr>
      <w:spacing w:line="314" w:lineRule="auto"/>
      <w:ind w:firstLine="840"/>
    </w:pPr>
    <w:rPr>
      <w:color w:val="323232"/>
      <w:sz w:val="42"/>
      <w:szCs w:val="42"/>
    </w:rPr>
  </w:style>
  <w:style w:type="character" w:customStyle="1" w:styleId="aff8">
    <w:name w:val="批注文字 字符"/>
    <w:basedOn w:val="aff2"/>
    <w:link w:val="aff7"/>
    <w:qFormat/>
    <w:rPr>
      <w:kern w:val="2"/>
      <w:sz w:val="21"/>
      <w:szCs w:val="24"/>
    </w:rPr>
  </w:style>
  <w:style w:type="character" w:customStyle="1" w:styleId="Char1">
    <w:name w:val="首示例 Char"/>
    <w:basedOn w:val="aff2"/>
    <w:link w:val="a5"/>
    <w:qFormat/>
    <w:rPr>
      <w:rFonts w:ascii="宋体" w:hAnsi="宋体"/>
      <w:kern w:val="2"/>
      <w:sz w:val="18"/>
      <w:szCs w:val="18"/>
    </w:rPr>
  </w:style>
  <w:style w:type="character" w:customStyle="1" w:styleId="affd">
    <w:name w:val="批注框文本 字符"/>
    <w:basedOn w:val="aff2"/>
    <w:link w:val="affc"/>
    <w:qFormat/>
    <w:rPr>
      <w:kern w:val="2"/>
      <w:sz w:val="18"/>
      <w:szCs w:val="18"/>
    </w:rPr>
  </w:style>
  <w:style w:type="character" w:customStyle="1" w:styleId="font31">
    <w:name w:val="font31"/>
    <w:basedOn w:val="aff2"/>
    <w:qFormat/>
    <w:rPr>
      <w:rFonts w:ascii="Arial Unicode MS" w:eastAsia="Arial Unicode MS" w:hAnsi="Arial Unicode MS" w:cs="Arial Unicode MS"/>
      <w:color w:val="000000"/>
      <w:sz w:val="20"/>
      <w:szCs w:val="20"/>
      <w:u w:val="none"/>
    </w:rPr>
  </w:style>
  <w:style w:type="character" w:customStyle="1" w:styleId="10">
    <w:name w:val="标题 1 字符"/>
    <w:basedOn w:val="aff2"/>
    <w:link w:val="1"/>
    <w:qFormat/>
    <w:rPr>
      <w:b/>
      <w:bCs/>
      <w:kern w:val="44"/>
      <w:sz w:val="44"/>
      <w:szCs w:val="44"/>
    </w:rPr>
  </w:style>
  <w:style w:type="character" w:customStyle="1" w:styleId="font41">
    <w:name w:val="font41"/>
    <w:basedOn w:val="aff2"/>
    <w:qFormat/>
    <w:rPr>
      <w:rFonts w:ascii="Times New Roman" w:hAnsi="Times New Roman" w:cs="Times New Roman" w:hint="default"/>
      <w:color w:val="000000"/>
      <w:sz w:val="20"/>
      <w:szCs w:val="20"/>
      <w:u w:val="none"/>
    </w:rPr>
  </w:style>
  <w:style w:type="character" w:customStyle="1" w:styleId="font11">
    <w:name w:val="font11"/>
    <w:basedOn w:val="aff2"/>
    <w:qFormat/>
    <w:rPr>
      <w:rFonts w:ascii="宋体" w:eastAsia="宋体" w:hAnsi="宋体" w:cs="宋体" w:hint="eastAsia"/>
      <w:i/>
      <w:color w:val="000000"/>
      <w:sz w:val="20"/>
      <w:szCs w:val="20"/>
      <w:u w:val="none"/>
    </w:rPr>
  </w:style>
  <w:style w:type="character" w:customStyle="1" w:styleId="afffffff1">
    <w:name w:val="发布"/>
    <w:basedOn w:val="aff2"/>
    <w:qFormat/>
    <w:rPr>
      <w:rFonts w:ascii="黑体" w:eastAsia="黑体"/>
      <w:spacing w:val="85"/>
      <w:w w:val="100"/>
      <w:position w:val="3"/>
      <w:sz w:val="28"/>
      <w:szCs w:val="28"/>
    </w:rPr>
  </w:style>
  <w:style w:type="character" w:customStyle="1" w:styleId="afff5">
    <w:name w:val="批注主题 字符"/>
    <w:basedOn w:val="aff8"/>
    <w:link w:val="afff4"/>
    <w:qFormat/>
    <w:rPr>
      <w:b/>
      <w:bCs/>
      <w:kern w:val="2"/>
      <w:sz w:val="21"/>
      <w:szCs w:val="24"/>
    </w:rPr>
  </w:style>
  <w:style w:type="character" w:customStyle="1" w:styleId="afff">
    <w:name w:val="页脚 字符"/>
    <w:basedOn w:val="aff2"/>
    <w:link w:val="affe"/>
    <w:uiPriority w:val="99"/>
    <w:qFormat/>
    <w:rPr>
      <w:kern w:val="2"/>
      <w:sz w:val="18"/>
      <w:szCs w:val="18"/>
    </w:rPr>
  </w:style>
  <w:style w:type="character" w:customStyle="1" w:styleId="Char">
    <w:name w:val="段 Char"/>
    <w:basedOn w:val="aff2"/>
    <w:link w:val="afff2"/>
    <w:qFormat/>
    <w:rPr>
      <w:rFonts w:ascii="宋体"/>
      <w:sz w:val="21"/>
      <w:lang w:val="en-US" w:eastAsia="zh-CN" w:bidi="ar-SA"/>
    </w:rPr>
  </w:style>
  <w:style w:type="character" w:customStyle="1" w:styleId="Char0">
    <w:name w:val="附录公式 Char"/>
    <w:basedOn w:val="Char"/>
    <w:link w:val="afffff3"/>
    <w:qFormat/>
    <w:rPr>
      <w:rFonts w:ascii="宋体"/>
      <w:sz w:val="21"/>
      <w:lang w:val="en-US" w:eastAsia="zh-CN" w:bidi="ar-SA"/>
    </w:rPr>
  </w:style>
  <w:style w:type="character" w:customStyle="1" w:styleId="affa">
    <w:name w:val="日期 字符"/>
    <w:basedOn w:val="aff2"/>
    <w:link w:val="aff9"/>
    <w:semiHidden/>
    <w:qFormat/>
    <w:rPr>
      <w:kern w:val="2"/>
      <w:sz w:val="21"/>
      <w:szCs w:val="24"/>
    </w:rPr>
  </w:style>
  <w:style w:type="paragraph" w:styleId="afffffff2">
    <w:name w:val="Body Text"/>
    <w:basedOn w:val="aff1"/>
    <w:link w:val="afffffff3"/>
    <w:uiPriority w:val="1"/>
    <w:qFormat/>
    <w:rsid w:val="00880368"/>
    <w:pPr>
      <w:autoSpaceDE w:val="0"/>
      <w:autoSpaceDN w:val="0"/>
      <w:ind w:left="0"/>
      <w:jc w:val="left"/>
    </w:pPr>
    <w:rPr>
      <w:rFonts w:eastAsia="Times New Roman"/>
      <w:kern w:val="0"/>
      <w:szCs w:val="21"/>
      <w:lang w:eastAsia="en-US"/>
    </w:rPr>
  </w:style>
  <w:style w:type="character" w:customStyle="1" w:styleId="afffffff3">
    <w:name w:val="正文文本 字符"/>
    <w:basedOn w:val="aff2"/>
    <w:link w:val="afffffff2"/>
    <w:uiPriority w:val="1"/>
    <w:rsid w:val="00880368"/>
    <w:rPr>
      <w:rFonts w:eastAsia="Times New Roman"/>
      <w:sz w:val="21"/>
      <w:szCs w:val="21"/>
      <w:lang w:eastAsia="en-US"/>
    </w:rPr>
  </w:style>
  <w:style w:type="paragraph" w:styleId="afffffff4">
    <w:name w:val="List Paragraph"/>
    <w:basedOn w:val="aff1"/>
    <w:uiPriority w:val="1"/>
    <w:qFormat/>
    <w:rsid w:val="00880368"/>
    <w:pPr>
      <w:autoSpaceDE w:val="0"/>
      <w:autoSpaceDN w:val="0"/>
      <w:spacing w:before="65"/>
      <w:ind w:left="427" w:hanging="315"/>
      <w:jc w:val="left"/>
    </w:pPr>
    <w:rPr>
      <w:rFonts w:eastAsia="Times New Roman"/>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19</Pages>
  <Words>1337</Words>
  <Characters>7627</Characters>
  <Application>Microsoft Office Word</Application>
  <DocSecurity>0</DocSecurity>
  <Lines>63</Lines>
  <Paragraphs>17</Paragraphs>
  <ScaleCrop>false</ScaleCrop>
  <Company>zle</Company>
  <LinksUpToDate>false</LinksUpToDate>
  <CharactersWithSpaces>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标准名称</dc:title>
  <dc:creator>CNIS</dc:creator>
  <cp:lastModifiedBy>LCX</cp:lastModifiedBy>
  <cp:revision>17</cp:revision>
  <cp:lastPrinted>2020-01-07T17:20:00Z</cp:lastPrinted>
  <dcterms:created xsi:type="dcterms:W3CDTF">2021-07-22T01:29:00Z</dcterms:created>
  <dcterms:modified xsi:type="dcterms:W3CDTF">2022-10-10T04:00:00Z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1EC980AE31B640C9ABFFCF2257D42DCC</vt:lpwstr>
  </property>
</Properties>
</file>