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lang w:eastAsia="zh-CN"/>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3"/>
        <w:rPr>
          <w:rFonts w:ascii="Times New Roman"/>
          <w:sz w:val="21"/>
        </w:rPr>
      </w:pPr>
    </w:p>
    <w:p>
      <w:pPr>
        <w:pStyle w:val="8"/>
        <w:spacing w:line="621" w:lineRule="exact"/>
        <w:ind w:right="0"/>
        <w:rPr>
          <w:rFonts w:ascii="华文中宋" w:hAnsi="华文中宋" w:eastAsia="华文中宋" w:cs="华文中宋"/>
          <w:b/>
          <w:bCs/>
          <w:sz w:val="36"/>
          <w:szCs w:val="36"/>
          <w:lang w:eastAsia="zh-CN"/>
        </w:rPr>
      </w:pPr>
      <w:r>
        <w:rPr>
          <w:rFonts w:hint="eastAsia" w:ascii="华文中宋" w:hAnsi="华文中宋" w:eastAsia="华文中宋" w:cs="华文中宋"/>
          <w:b/>
          <w:bCs/>
          <w:sz w:val="36"/>
          <w:szCs w:val="36"/>
          <w:lang w:eastAsia="zh-CN"/>
        </w:rPr>
        <w:t>中国金属学会</w:t>
      </w:r>
    </w:p>
    <w:p>
      <w:pPr>
        <w:spacing w:before="255" w:line="331" w:lineRule="auto"/>
        <w:ind w:left="117" w:right="101"/>
        <w:jc w:val="center"/>
        <w:rPr>
          <w:rFonts w:ascii="华文中宋" w:hAnsi="华文中宋" w:eastAsia="华文中宋" w:cs="华文中宋"/>
          <w:b/>
          <w:bCs/>
          <w:sz w:val="36"/>
          <w:szCs w:val="36"/>
          <w:lang w:eastAsia="zh-CN"/>
        </w:rPr>
      </w:pPr>
      <w:r>
        <w:rPr>
          <w:rFonts w:hint="eastAsia" w:ascii="华文中宋" w:hAnsi="华文中宋" w:eastAsia="华文中宋" w:cs="华文中宋"/>
          <w:b/>
          <w:bCs/>
          <w:sz w:val="36"/>
          <w:szCs w:val="36"/>
          <w:lang w:eastAsia="zh-CN"/>
        </w:rPr>
        <w:t>《钢铁行业智能废钢验质系统总体要求》</w:t>
      </w:r>
    </w:p>
    <w:p>
      <w:pPr>
        <w:spacing w:before="57"/>
        <w:ind w:left="116" w:right="101"/>
        <w:jc w:val="center"/>
        <w:rPr>
          <w:rFonts w:ascii="华文中宋" w:hAnsi="华文中宋" w:eastAsia="华文中宋" w:cs="华文中宋"/>
          <w:b/>
          <w:bCs/>
          <w:sz w:val="36"/>
          <w:szCs w:val="36"/>
          <w:lang w:eastAsia="zh-CN"/>
        </w:rPr>
      </w:pPr>
      <w:r>
        <w:rPr>
          <w:rFonts w:hint="eastAsia" w:ascii="华文中宋" w:hAnsi="华文中宋" w:eastAsia="华文中宋" w:cs="华文中宋"/>
          <w:b/>
          <w:bCs/>
          <w:sz w:val="36"/>
          <w:szCs w:val="36"/>
          <w:lang w:eastAsia="zh-CN"/>
        </w:rPr>
        <w:t>编制说明</w:t>
      </w:r>
    </w:p>
    <w:p>
      <w:pPr>
        <w:pStyle w:val="3"/>
        <w:rPr>
          <w:sz w:val="52"/>
          <w:lang w:eastAsia="zh-CN"/>
        </w:rPr>
      </w:pPr>
    </w:p>
    <w:p>
      <w:pPr>
        <w:pStyle w:val="3"/>
        <w:rPr>
          <w:sz w:val="52"/>
          <w:lang w:eastAsia="zh-CN"/>
        </w:rPr>
      </w:pPr>
    </w:p>
    <w:p>
      <w:pPr>
        <w:pStyle w:val="3"/>
        <w:rPr>
          <w:sz w:val="52"/>
          <w:lang w:eastAsia="zh-CN"/>
        </w:rPr>
      </w:pPr>
    </w:p>
    <w:p>
      <w:pPr>
        <w:pStyle w:val="3"/>
        <w:rPr>
          <w:sz w:val="52"/>
          <w:lang w:eastAsia="zh-CN"/>
        </w:rPr>
      </w:pPr>
    </w:p>
    <w:p>
      <w:pPr>
        <w:pStyle w:val="3"/>
        <w:rPr>
          <w:sz w:val="52"/>
          <w:lang w:eastAsia="zh-CN"/>
        </w:rPr>
      </w:pPr>
    </w:p>
    <w:p>
      <w:pPr>
        <w:pStyle w:val="3"/>
        <w:rPr>
          <w:sz w:val="52"/>
          <w:lang w:eastAsia="zh-CN"/>
        </w:rPr>
      </w:pPr>
    </w:p>
    <w:p>
      <w:pPr>
        <w:pStyle w:val="3"/>
        <w:rPr>
          <w:sz w:val="52"/>
          <w:lang w:eastAsia="zh-CN"/>
        </w:rPr>
      </w:pPr>
    </w:p>
    <w:p>
      <w:pPr>
        <w:spacing w:before="345"/>
        <w:ind w:left="110" w:right="101"/>
        <w:jc w:val="center"/>
        <w:rPr>
          <w:rFonts w:ascii="华文中宋" w:hAnsi="华文中宋" w:eastAsia="华文中宋" w:cs="华文中宋"/>
          <w:b/>
          <w:sz w:val="36"/>
          <w:lang w:eastAsia="zh-CN"/>
        </w:rPr>
      </w:pPr>
      <w:r>
        <w:rPr>
          <w:rFonts w:hint="eastAsia" w:ascii="华文中宋" w:hAnsi="华文中宋" w:eastAsia="华文中宋" w:cs="华文中宋"/>
          <w:b/>
          <w:sz w:val="36"/>
          <w:lang w:eastAsia="zh-CN"/>
        </w:rPr>
        <w:t>河钢数字技术股份有限公司</w:t>
      </w:r>
    </w:p>
    <w:p>
      <w:pPr>
        <w:pStyle w:val="9"/>
        <w:spacing w:before="112"/>
        <w:ind w:left="117" w:right="99"/>
        <w:rPr>
          <w:rFonts w:ascii="华文中宋" w:hAnsi="华文中宋" w:eastAsia="华文中宋" w:cs="华文中宋"/>
          <w:b/>
          <w:szCs w:val="22"/>
          <w:lang w:eastAsia="zh-CN"/>
        </w:rPr>
      </w:pPr>
      <w:r>
        <w:rPr>
          <w:rFonts w:hint="eastAsia" w:ascii="华文中宋" w:hAnsi="华文中宋" w:eastAsia="华文中宋" w:cs="华文中宋"/>
          <w:b/>
          <w:szCs w:val="22"/>
          <w:lang w:eastAsia="zh-CN"/>
        </w:rPr>
        <w:t>202</w:t>
      </w:r>
      <w:r>
        <w:rPr>
          <w:rFonts w:ascii="华文中宋" w:hAnsi="华文中宋" w:eastAsia="华文中宋" w:cs="华文中宋"/>
          <w:b/>
          <w:szCs w:val="22"/>
          <w:lang w:eastAsia="zh-CN"/>
        </w:rPr>
        <w:t>2</w:t>
      </w:r>
      <w:r>
        <w:rPr>
          <w:rFonts w:hint="eastAsia" w:ascii="华文中宋" w:hAnsi="华文中宋" w:eastAsia="华文中宋" w:cs="华文中宋"/>
          <w:b/>
          <w:szCs w:val="22"/>
          <w:lang w:eastAsia="zh-CN"/>
        </w:rPr>
        <w:t>年</w:t>
      </w:r>
      <w:r>
        <w:rPr>
          <w:rFonts w:ascii="华文中宋" w:hAnsi="华文中宋" w:eastAsia="华文中宋" w:cs="华文中宋"/>
          <w:b/>
          <w:szCs w:val="22"/>
          <w:lang w:eastAsia="zh-CN"/>
        </w:rPr>
        <w:t>7</w:t>
      </w:r>
      <w:r>
        <w:rPr>
          <w:rFonts w:hint="eastAsia" w:ascii="华文中宋" w:hAnsi="华文中宋" w:eastAsia="华文中宋" w:cs="华文中宋"/>
          <w:b/>
          <w:szCs w:val="22"/>
          <w:lang w:eastAsia="zh-CN"/>
        </w:rPr>
        <w:t>月</w:t>
      </w:r>
    </w:p>
    <w:p>
      <w:pPr>
        <w:rPr>
          <w:lang w:eastAsia="zh-CN"/>
        </w:rPr>
        <w:sectPr>
          <w:pgSz w:w="11910" w:h="16840"/>
          <w:pgMar w:top="1580" w:right="1260" w:bottom="280" w:left="1580" w:header="720" w:footer="720" w:gutter="0"/>
          <w:cols w:space="720" w:num="1"/>
        </w:sectPr>
      </w:pPr>
      <w:r>
        <w:rPr>
          <w:lang w:eastAsia="zh-CN"/>
        </w:rPr>
        <w:br w:type="page"/>
      </w:r>
    </w:p>
    <w:p>
      <w:pPr>
        <w:pStyle w:val="8"/>
        <w:spacing w:line="621" w:lineRule="exact"/>
        <w:ind w:right="0"/>
        <w:rPr>
          <w:rFonts w:ascii="华文中宋" w:hAnsi="华文中宋" w:eastAsia="华文中宋" w:cs="华文中宋"/>
          <w:b/>
          <w:bCs/>
          <w:sz w:val="36"/>
          <w:szCs w:val="36"/>
          <w:lang w:eastAsia="zh-CN"/>
        </w:rPr>
      </w:pPr>
      <w:r>
        <w:rPr>
          <w:rFonts w:hint="eastAsia" w:ascii="华文中宋" w:hAnsi="华文中宋" w:eastAsia="华文中宋" w:cs="华文中宋"/>
          <w:b/>
          <w:bCs/>
          <w:sz w:val="36"/>
          <w:szCs w:val="36"/>
          <w:lang w:eastAsia="zh-CN"/>
        </w:rPr>
        <w:t>中国金属学会</w:t>
      </w:r>
    </w:p>
    <w:p>
      <w:pPr>
        <w:spacing w:before="255" w:line="331" w:lineRule="auto"/>
        <w:ind w:left="117" w:right="101"/>
        <w:jc w:val="center"/>
        <w:rPr>
          <w:rFonts w:ascii="华文中宋" w:hAnsi="华文中宋" w:eastAsia="华文中宋" w:cs="华文中宋"/>
          <w:b/>
          <w:bCs/>
          <w:sz w:val="36"/>
          <w:szCs w:val="36"/>
          <w:lang w:eastAsia="zh-CN"/>
        </w:rPr>
      </w:pPr>
      <w:r>
        <w:rPr>
          <w:rFonts w:hint="eastAsia" w:ascii="华文中宋" w:hAnsi="华文中宋" w:eastAsia="华文中宋" w:cs="华文中宋"/>
          <w:b/>
          <w:bCs/>
          <w:sz w:val="36"/>
          <w:szCs w:val="36"/>
          <w:lang w:eastAsia="zh-CN"/>
        </w:rPr>
        <w:t>《钢铁行业智能废钢验质系统总体要求》</w:t>
      </w:r>
    </w:p>
    <w:p>
      <w:pPr>
        <w:spacing w:before="57" w:line="600" w:lineRule="exact"/>
        <w:ind w:left="116" w:right="101"/>
        <w:jc w:val="center"/>
        <w:rPr>
          <w:rFonts w:ascii="华文中宋" w:hAnsi="华文中宋" w:eastAsia="华文中宋" w:cs="华文中宋"/>
          <w:b/>
          <w:bCs/>
          <w:sz w:val="36"/>
          <w:szCs w:val="36"/>
          <w:lang w:eastAsia="zh-CN"/>
        </w:rPr>
      </w:pPr>
      <w:r>
        <w:rPr>
          <w:rFonts w:hint="eastAsia" w:ascii="华文中宋" w:hAnsi="华文中宋" w:eastAsia="华文中宋" w:cs="华文中宋"/>
          <w:b/>
          <w:bCs/>
          <w:sz w:val="36"/>
          <w:szCs w:val="36"/>
          <w:lang w:eastAsia="zh-CN"/>
        </w:rPr>
        <w:t>编制说明</w:t>
      </w:r>
    </w:p>
    <w:p>
      <w:pPr>
        <w:pStyle w:val="9"/>
        <w:spacing w:before="120" w:beforeLines="50" w:after="120" w:afterLines="50"/>
        <w:ind w:left="102"/>
        <w:jc w:val="left"/>
        <w:rPr>
          <w:rFonts w:ascii="黑体" w:hAnsi="黑体" w:eastAsia="黑体" w:cs="Microsoft JhengHei"/>
          <w:b/>
          <w:bCs/>
          <w:sz w:val="28"/>
          <w:szCs w:val="28"/>
          <w:lang w:eastAsia="zh-CN"/>
        </w:rPr>
      </w:pPr>
      <w:r>
        <w:rPr>
          <w:rFonts w:ascii="黑体" w:hAnsi="黑体" w:eastAsia="黑体" w:cs="Microsoft JhengHei"/>
          <w:b/>
          <w:bCs/>
          <w:sz w:val="28"/>
          <w:szCs w:val="28"/>
          <w:lang w:eastAsia="zh-CN"/>
        </w:rPr>
        <w:t>一、</w:t>
      </w:r>
      <w:r>
        <w:rPr>
          <w:rFonts w:hint="eastAsia" w:ascii="黑体" w:hAnsi="黑体" w:eastAsia="黑体" w:cs="Microsoft JhengHei"/>
          <w:b/>
          <w:bCs/>
          <w:sz w:val="28"/>
          <w:szCs w:val="28"/>
          <w:lang w:eastAsia="zh-CN"/>
        </w:rPr>
        <w:t>工作简况</w:t>
      </w:r>
    </w:p>
    <w:p>
      <w:pPr>
        <w:pStyle w:val="10"/>
        <w:spacing w:after="120" w:afterLines="50" w:line="600" w:lineRule="exact"/>
        <w:ind w:left="0" w:firstLine="562" w:firstLineChars="200"/>
        <w:rPr>
          <w:rFonts w:ascii="黑体" w:hAnsi="黑体" w:eastAsia="黑体"/>
          <w:sz w:val="28"/>
          <w:szCs w:val="28"/>
          <w:lang w:eastAsia="zh-CN"/>
        </w:rPr>
      </w:pPr>
      <w:r>
        <w:rPr>
          <w:rFonts w:hint="eastAsia" w:ascii="黑体" w:hAnsi="黑体" w:eastAsia="黑体"/>
          <w:sz w:val="28"/>
          <w:szCs w:val="28"/>
          <w:lang w:eastAsia="zh-CN"/>
        </w:rPr>
        <w:t>1</w:t>
      </w:r>
      <w:r>
        <w:rPr>
          <w:rFonts w:ascii="黑体" w:hAnsi="黑体" w:eastAsia="黑体"/>
          <w:sz w:val="28"/>
          <w:szCs w:val="28"/>
          <w:lang w:eastAsia="zh-CN"/>
        </w:rPr>
        <w:t>、任务来源</w:t>
      </w:r>
    </w:p>
    <w:p>
      <w:pPr>
        <w:widowControl/>
        <w:spacing w:line="600" w:lineRule="exact"/>
        <w:ind w:firstLine="560" w:firstLineChars="200"/>
        <w:rPr>
          <w:sz w:val="28"/>
          <w:szCs w:val="28"/>
          <w:lang w:eastAsia="zh-CN"/>
        </w:rPr>
      </w:pPr>
      <w:r>
        <w:rPr>
          <w:rFonts w:hint="eastAsia"/>
          <w:sz w:val="28"/>
          <w:szCs w:val="28"/>
          <w:lang w:eastAsia="zh-CN"/>
        </w:rPr>
        <w:t>基于智能废钢验质系统在钢铁行业内的成功推广，</w:t>
      </w:r>
      <w:r>
        <w:rPr>
          <w:sz w:val="28"/>
          <w:szCs w:val="28"/>
          <w:lang w:eastAsia="zh-CN"/>
        </w:rPr>
        <w:t>为打造面向市场需求的团体标准，促进产品和服务质量提升，优化</w:t>
      </w:r>
      <w:r>
        <w:rPr>
          <w:rFonts w:hint="eastAsia"/>
          <w:sz w:val="28"/>
          <w:szCs w:val="28"/>
          <w:lang w:eastAsia="zh-CN"/>
        </w:rPr>
        <w:t>平台</w:t>
      </w:r>
      <w:r>
        <w:rPr>
          <w:sz w:val="28"/>
          <w:szCs w:val="28"/>
          <w:lang w:eastAsia="zh-CN"/>
        </w:rPr>
        <w:t>发展环境，推动经济社会高质量发展</w:t>
      </w:r>
      <w:r>
        <w:rPr>
          <w:rFonts w:hint="eastAsia"/>
          <w:sz w:val="28"/>
          <w:szCs w:val="28"/>
          <w:lang w:eastAsia="zh-CN"/>
        </w:rPr>
        <w:t>。按照中国金属学会要求，依据《中国金属学会团体标准管理办法》，启动《钢铁行业智能废钢验质系统总体要求》的标准制定工作。</w:t>
      </w:r>
    </w:p>
    <w:p>
      <w:pPr>
        <w:spacing w:line="600" w:lineRule="exact"/>
        <w:ind w:firstLine="560" w:firstLineChars="200"/>
        <w:rPr>
          <w:sz w:val="28"/>
          <w:lang w:eastAsia="zh-CN"/>
        </w:rPr>
      </w:pPr>
      <w:r>
        <w:rPr>
          <w:rFonts w:hint="eastAsia"/>
          <w:sz w:val="28"/>
          <w:szCs w:val="28"/>
          <w:lang w:eastAsia="zh-CN"/>
        </w:rPr>
        <w:t>本标准由河钢数字技术股份有限公司</w:t>
      </w:r>
      <w:r>
        <w:rPr>
          <w:rFonts w:hint="eastAsia"/>
          <w:sz w:val="28"/>
          <w:lang w:eastAsia="zh-CN"/>
        </w:rPr>
        <w:t>提出并归口。</w:t>
      </w:r>
    </w:p>
    <w:p>
      <w:pPr>
        <w:spacing w:line="600" w:lineRule="exact"/>
        <w:ind w:firstLine="560" w:firstLineChars="200"/>
        <w:rPr>
          <w:sz w:val="28"/>
          <w:lang w:eastAsia="zh-CN"/>
        </w:rPr>
      </w:pPr>
      <w:r>
        <w:rPr>
          <w:rFonts w:hint="eastAsia"/>
          <w:sz w:val="28"/>
          <w:lang w:eastAsia="zh-CN"/>
        </w:rPr>
        <w:t>本标准起草单位为：河钢数字技术股份有限公司、中国金属学会标准化工作委员会。</w:t>
      </w:r>
    </w:p>
    <w:p>
      <w:pPr>
        <w:pStyle w:val="10"/>
        <w:spacing w:after="120" w:afterLines="50" w:line="600" w:lineRule="exact"/>
        <w:ind w:left="0" w:firstLine="562" w:firstLineChars="200"/>
        <w:rPr>
          <w:rFonts w:ascii="黑体" w:hAnsi="黑体" w:eastAsia="黑体"/>
          <w:sz w:val="28"/>
          <w:szCs w:val="28"/>
          <w:lang w:eastAsia="zh-CN"/>
        </w:rPr>
      </w:pPr>
      <w:r>
        <w:rPr>
          <w:rFonts w:hint="eastAsia" w:ascii="黑体" w:hAnsi="黑体" w:eastAsia="黑体"/>
          <w:sz w:val="28"/>
          <w:szCs w:val="28"/>
          <w:lang w:eastAsia="zh-CN"/>
        </w:rPr>
        <w:t>2</w:t>
      </w:r>
      <w:r>
        <w:rPr>
          <w:rFonts w:ascii="黑体" w:hAnsi="黑体" w:eastAsia="黑体"/>
          <w:sz w:val="28"/>
          <w:szCs w:val="28"/>
          <w:lang w:eastAsia="zh-CN"/>
        </w:rPr>
        <w:t>、主要工作过程</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根据任务要求，</w:t>
      </w:r>
      <w:r>
        <w:rPr>
          <w:rFonts w:hint="eastAsia"/>
          <w:sz w:val="28"/>
          <w:lang w:eastAsia="zh-CN"/>
        </w:rPr>
        <w:t>河钢数字技术股份有限公司、中国金属学会标准化工作委员会</w:t>
      </w:r>
      <w:r>
        <w:rPr>
          <w:rFonts w:hint="eastAsia"/>
          <w:sz w:val="28"/>
          <w:lang w:val="en-US" w:eastAsia="zh-CN"/>
        </w:rPr>
        <w:t>于</w:t>
      </w:r>
      <w:r>
        <w:rPr>
          <w:rFonts w:hint="eastAsia"/>
          <w:sz w:val="28"/>
          <w:lang w:eastAsia="zh-CN"/>
        </w:rPr>
        <w:t>2</w:t>
      </w:r>
      <w:r>
        <w:rPr>
          <w:sz w:val="28"/>
          <w:lang w:eastAsia="zh-CN"/>
        </w:rPr>
        <w:t>02</w:t>
      </w:r>
      <w:r>
        <w:rPr>
          <w:rFonts w:hint="eastAsia"/>
          <w:sz w:val="28"/>
          <w:lang w:val="en-US" w:eastAsia="zh-CN"/>
        </w:rPr>
        <w:t>2年</w:t>
      </w:r>
      <w:r>
        <w:rPr>
          <w:sz w:val="28"/>
          <w:lang w:eastAsia="zh-CN"/>
        </w:rPr>
        <w:t>07</w:t>
      </w:r>
      <w:r>
        <w:rPr>
          <w:rFonts w:hint="eastAsia"/>
          <w:sz w:val="28"/>
          <w:lang w:eastAsia="zh-CN"/>
        </w:rPr>
        <w:t>月1日成立了标准编制起草工作组，组织标准编制和协调工作。标准起草工作组指定了标准编制工作计划、编写大纲、明确任务分工以及各阶段时间进度。同时针对标准制定工作的各个环节，进行了标准结构和内</w:t>
      </w:r>
      <w:r>
        <w:rPr>
          <w:rFonts w:hint="eastAsia"/>
          <w:color w:val="000000" w:themeColor="text1"/>
          <w:sz w:val="28"/>
          <w:szCs w:val="28"/>
          <w:lang w:eastAsia="zh-CN"/>
          <w14:textFill>
            <w14:solidFill>
              <w14:schemeClr w14:val="tx1"/>
            </w14:solidFill>
          </w14:textFill>
        </w:rPr>
        <w:t>容的探讨与研究。</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标准起草工作组经过一</w:t>
      </w:r>
      <w:r>
        <w:rPr>
          <w:color w:val="000000" w:themeColor="text1"/>
          <w:sz w:val="28"/>
          <w:szCs w:val="28"/>
          <w:lang w:eastAsia="zh-CN"/>
          <w14:textFill>
            <w14:solidFill>
              <w14:schemeClr w14:val="tx1"/>
            </w14:solidFill>
          </w14:textFill>
        </w:rPr>
        <w:t>个月的广泛调研、咨询，收集和查阅有关资料，并结合</w:t>
      </w:r>
      <w:r>
        <w:rPr>
          <w:rFonts w:hint="eastAsia"/>
          <w:sz w:val="28"/>
          <w:lang w:eastAsia="zh-CN"/>
        </w:rPr>
        <w:t>河钢数字技术股份有限公司</w:t>
      </w:r>
      <w:r>
        <w:rPr>
          <w:rFonts w:hint="eastAsia"/>
          <w:color w:val="000000" w:themeColor="text1"/>
          <w:sz w:val="28"/>
          <w:szCs w:val="28"/>
          <w:lang w:eastAsia="zh-CN"/>
          <w14:textFill>
            <w14:solidFill>
              <w14:schemeClr w14:val="tx1"/>
            </w14:solidFill>
          </w14:textFill>
        </w:rPr>
        <w:t>在智能废钢验质</w:t>
      </w:r>
      <w:r>
        <w:rPr>
          <w:color w:val="000000" w:themeColor="text1"/>
          <w:sz w:val="28"/>
          <w:szCs w:val="28"/>
          <w:lang w:eastAsia="zh-CN"/>
          <w14:textFill>
            <w14:solidFill>
              <w14:schemeClr w14:val="tx1"/>
            </w14:solidFill>
          </w14:textFill>
        </w:rPr>
        <w:t>方面的</w:t>
      </w:r>
      <w:r>
        <w:rPr>
          <w:rFonts w:hint="eastAsia"/>
          <w:color w:val="000000" w:themeColor="text1"/>
          <w:sz w:val="28"/>
          <w:szCs w:val="28"/>
          <w:lang w:eastAsia="zh-CN"/>
          <w14:textFill>
            <w14:solidFill>
              <w14:schemeClr w14:val="tx1"/>
            </w14:solidFill>
          </w14:textFill>
        </w:rPr>
        <w:t>成功</w:t>
      </w:r>
      <w:r>
        <w:rPr>
          <w:color w:val="000000" w:themeColor="text1"/>
          <w:sz w:val="28"/>
          <w:szCs w:val="28"/>
          <w:lang w:eastAsia="zh-CN"/>
          <w14:textFill>
            <w14:solidFill>
              <w14:schemeClr w14:val="tx1"/>
            </w14:solidFill>
          </w14:textFill>
        </w:rPr>
        <w:t>经验和应用现状，于</w:t>
      </w:r>
      <w:r>
        <w:rPr>
          <w:rFonts w:hint="eastAsia"/>
          <w:color w:val="000000" w:themeColor="text1"/>
          <w:sz w:val="28"/>
          <w:szCs w:val="28"/>
          <w:lang w:eastAsia="zh-CN"/>
          <w14:textFill>
            <w14:solidFill>
              <w14:schemeClr w14:val="tx1"/>
            </w14:solidFill>
          </w14:textFill>
        </w:rPr>
        <w:t>2</w:t>
      </w:r>
      <w:r>
        <w:rPr>
          <w:color w:val="000000" w:themeColor="text1"/>
          <w:sz w:val="28"/>
          <w:szCs w:val="28"/>
          <w:lang w:eastAsia="zh-CN"/>
          <w14:textFill>
            <w14:solidFill>
              <w14:schemeClr w14:val="tx1"/>
            </w14:solidFill>
          </w14:textFill>
        </w:rPr>
        <w:t>022</w:t>
      </w:r>
      <w:r>
        <w:rPr>
          <w:rFonts w:hint="eastAsia"/>
          <w:color w:val="000000" w:themeColor="text1"/>
          <w:sz w:val="28"/>
          <w:szCs w:val="28"/>
          <w:lang w:eastAsia="zh-CN"/>
          <w14:textFill>
            <w14:solidFill>
              <w14:schemeClr w14:val="tx1"/>
            </w14:solidFill>
          </w14:textFill>
        </w:rPr>
        <w:t>年</w:t>
      </w:r>
      <w:r>
        <w:rPr>
          <w:color w:val="000000" w:themeColor="text1"/>
          <w:sz w:val="28"/>
          <w:szCs w:val="28"/>
          <w:lang w:eastAsia="zh-CN"/>
          <w14:textFill>
            <w14:solidFill>
              <w14:schemeClr w14:val="tx1"/>
            </w14:solidFill>
          </w14:textFill>
        </w:rPr>
        <w:t>7</w:t>
      </w:r>
      <w:r>
        <w:rPr>
          <w:rFonts w:hint="eastAsia"/>
          <w:color w:val="000000" w:themeColor="text1"/>
          <w:sz w:val="28"/>
          <w:szCs w:val="28"/>
          <w:lang w:eastAsia="zh-CN"/>
          <w14:textFill>
            <w14:solidFill>
              <w14:schemeClr w14:val="tx1"/>
            </w14:solidFill>
          </w14:textFill>
        </w:rPr>
        <w:t>月2</w:t>
      </w:r>
      <w:r>
        <w:rPr>
          <w:color w:val="000000" w:themeColor="text1"/>
          <w:sz w:val="28"/>
          <w:szCs w:val="28"/>
          <w:lang w:eastAsia="zh-CN"/>
          <w14:textFill>
            <w14:solidFill>
              <w14:schemeClr w14:val="tx1"/>
            </w14:solidFill>
          </w14:textFill>
        </w:rPr>
        <w:t>5</w:t>
      </w:r>
      <w:r>
        <w:rPr>
          <w:rFonts w:hint="eastAsia"/>
          <w:color w:val="000000" w:themeColor="text1"/>
          <w:sz w:val="28"/>
          <w:szCs w:val="28"/>
          <w:lang w:eastAsia="zh-CN"/>
          <w14:textFill>
            <w14:solidFill>
              <w14:schemeClr w14:val="tx1"/>
            </w14:solidFill>
          </w14:textFill>
        </w:rPr>
        <w:t>日</w:t>
      </w:r>
      <w:r>
        <w:rPr>
          <w:color w:val="000000" w:themeColor="text1"/>
          <w:sz w:val="28"/>
          <w:szCs w:val="28"/>
          <w:lang w:eastAsia="zh-CN"/>
          <w14:textFill>
            <w14:solidFill>
              <w14:schemeClr w14:val="tx1"/>
            </w14:solidFill>
          </w14:textFill>
        </w:rPr>
        <w:t>确定了标准起草的总体框架和主要内容，并编写完成了团体标准《</w:t>
      </w:r>
      <w:r>
        <w:rPr>
          <w:rFonts w:hint="eastAsia"/>
          <w:color w:val="000000" w:themeColor="text1"/>
          <w:sz w:val="28"/>
          <w:szCs w:val="28"/>
          <w:lang w:eastAsia="zh-CN"/>
          <w14:textFill>
            <w14:solidFill>
              <w14:schemeClr w14:val="tx1"/>
            </w14:solidFill>
          </w14:textFill>
        </w:rPr>
        <w:t>钢铁行业智能废钢验质系统总体要求</w:t>
      </w:r>
      <w:r>
        <w:rPr>
          <w:color w:val="000000" w:themeColor="text1"/>
          <w:sz w:val="28"/>
          <w:szCs w:val="28"/>
          <w:lang w:eastAsia="zh-CN"/>
          <w14:textFill>
            <w14:solidFill>
              <w14:schemeClr w14:val="tx1"/>
            </w14:solidFill>
          </w14:textFill>
        </w:rPr>
        <w:t>》的草案。</w:t>
      </w:r>
      <w:r>
        <w:rPr>
          <w:rFonts w:hint="eastAsia"/>
          <w:color w:val="000000" w:themeColor="text1"/>
          <w:sz w:val="28"/>
          <w:szCs w:val="28"/>
          <w:lang w:eastAsia="zh-CN"/>
          <w14:textFill>
            <w14:solidFill>
              <w14:schemeClr w14:val="tx1"/>
            </w14:solidFill>
          </w14:textFill>
        </w:rPr>
        <w:t>期间</w:t>
      </w:r>
      <w:r>
        <w:rPr>
          <w:color w:val="000000" w:themeColor="text1"/>
          <w:sz w:val="28"/>
          <w:szCs w:val="28"/>
          <w:lang w:eastAsia="zh-CN"/>
          <w14:textFill>
            <w14:solidFill>
              <w14:schemeClr w14:val="tx1"/>
            </w14:solidFill>
          </w14:textFill>
        </w:rPr>
        <w:t>，起草工作组在公司内部进行了草案的意见征求和研讨，多次召开标准制定调度会议，经过反复修改和完善</w:t>
      </w:r>
      <w:r>
        <w:rPr>
          <w:rFonts w:hint="eastAsia"/>
          <w:color w:val="000000" w:themeColor="text1"/>
          <w:sz w:val="28"/>
          <w:szCs w:val="28"/>
          <w:lang w:eastAsia="zh-CN"/>
          <w14:textFill>
            <w14:solidFill>
              <w14:schemeClr w14:val="tx1"/>
            </w14:solidFill>
          </w14:textFill>
        </w:rPr>
        <w:t>，于2</w:t>
      </w:r>
      <w:r>
        <w:rPr>
          <w:color w:val="000000" w:themeColor="text1"/>
          <w:sz w:val="28"/>
          <w:szCs w:val="28"/>
          <w:lang w:eastAsia="zh-CN"/>
          <w14:textFill>
            <w14:solidFill>
              <w14:schemeClr w14:val="tx1"/>
            </w14:solidFill>
          </w14:textFill>
        </w:rPr>
        <w:t>022</w:t>
      </w:r>
      <w:r>
        <w:rPr>
          <w:rFonts w:hint="eastAsia"/>
          <w:color w:val="000000" w:themeColor="text1"/>
          <w:sz w:val="28"/>
          <w:szCs w:val="28"/>
          <w:lang w:eastAsia="zh-CN"/>
          <w14:textFill>
            <w14:solidFill>
              <w14:schemeClr w14:val="tx1"/>
            </w14:solidFill>
          </w14:textFill>
        </w:rPr>
        <w:t>年</w:t>
      </w:r>
      <w:r>
        <w:rPr>
          <w:color w:val="000000" w:themeColor="text1"/>
          <w:sz w:val="28"/>
          <w:szCs w:val="28"/>
          <w:lang w:eastAsia="zh-CN"/>
          <w14:textFill>
            <w14:solidFill>
              <w14:schemeClr w14:val="tx1"/>
            </w14:solidFill>
          </w14:textFill>
        </w:rPr>
        <w:t>8</w:t>
      </w:r>
      <w:r>
        <w:rPr>
          <w:rFonts w:hint="eastAsia"/>
          <w:color w:val="000000" w:themeColor="text1"/>
          <w:sz w:val="28"/>
          <w:szCs w:val="28"/>
          <w:lang w:eastAsia="zh-CN"/>
          <w14:textFill>
            <w14:solidFill>
              <w14:schemeClr w14:val="tx1"/>
            </w14:solidFill>
          </w14:textFill>
        </w:rPr>
        <w:t>月</w:t>
      </w:r>
      <w:r>
        <w:rPr>
          <w:rFonts w:hint="eastAsia"/>
          <w:color w:val="000000" w:themeColor="text1"/>
          <w:sz w:val="28"/>
          <w:szCs w:val="28"/>
          <w:lang w:val="en-US" w:eastAsia="zh-CN"/>
          <w14:textFill>
            <w14:solidFill>
              <w14:schemeClr w14:val="tx1"/>
            </w14:solidFill>
          </w14:textFill>
        </w:rPr>
        <w:t>20</w:t>
      </w:r>
      <w:r>
        <w:rPr>
          <w:rFonts w:hint="eastAsia"/>
          <w:color w:val="000000" w:themeColor="text1"/>
          <w:sz w:val="28"/>
          <w:szCs w:val="28"/>
          <w:lang w:eastAsia="zh-CN"/>
          <w14:textFill>
            <w14:solidFill>
              <w14:schemeClr w14:val="tx1"/>
            </w14:solidFill>
          </w14:textFill>
        </w:rPr>
        <w:t>日完成了《钢铁行业智能废钢验质系统总体要求》撰写</w:t>
      </w:r>
      <w:r>
        <w:rPr>
          <w:color w:val="000000" w:themeColor="text1"/>
          <w:sz w:val="28"/>
          <w:szCs w:val="28"/>
          <w:lang w:eastAsia="zh-CN"/>
          <w14:textFill>
            <w14:solidFill>
              <w14:schemeClr w14:val="tx1"/>
            </w14:solidFill>
          </w14:textFill>
        </w:rPr>
        <w:t>。</w:t>
      </w:r>
    </w:p>
    <w:p>
      <w:pPr>
        <w:pStyle w:val="10"/>
        <w:spacing w:after="120" w:afterLines="50" w:line="600" w:lineRule="exact"/>
        <w:ind w:left="0" w:firstLine="562" w:firstLineChars="200"/>
        <w:rPr>
          <w:rFonts w:ascii="黑体" w:hAnsi="黑体" w:eastAsia="黑体"/>
          <w:sz w:val="28"/>
          <w:szCs w:val="28"/>
          <w:lang w:eastAsia="zh-CN"/>
        </w:rPr>
      </w:pPr>
      <w:r>
        <w:rPr>
          <w:rFonts w:ascii="黑体" w:hAnsi="黑体" w:eastAsia="黑体"/>
          <w:sz w:val="28"/>
          <w:szCs w:val="28"/>
          <w:lang w:eastAsia="zh-CN"/>
        </w:rPr>
        <w:t>3、</w:t>
      </w:r>
      <w:r>
        <w:rPr>
          <w:rFonts w:hint="eastAsia" w:ascii="黑体" w:hAnsi="黑体" w:eastAsia="黑体"/>
          <w:sz w:val="28"/>
          <w:szCs w:val="28"/>
          <w:lang w:eastAsia="zh-CN"/>
        </w:rPr>
        <w:t>主要参加单位/成员以及工作</w:t>
      </w:r>
    </w:p>
    <w:tbl>
      <w:tblPr>
        <w:tblStyle w:val="6"/>
        <w:tblW w:w="10206" w:type="dxa"/>
        <w:tblInd w:w="-671" w:type="dxa"/>
        <w:tblLayout w:type="autofit"/>
        <w:tblCellMar>
          <w:top w:w="0" w:type="dxa"/>
          <w:left w:w="108" w:type="dxa"/>
          <w:bottom w:w="0" w:type="dxa"/>
          <w:right w:w="108" w:type="dxa"/>
        </w:tblCellMar>
      </w:tblPr>
      <w:tblGrid>
        <w:gridCol w:w="436"/>
        <w:gridCol w:w="3178"/>
        <w:gridCol w:w="2629"/>
        <w:gridCol w:w="3963"/>
      </w:tblGrid>
      <w:tr>
        <w:tblPrEx>
          <w:tblCellMar>
            <w:top w:w="0" w:type="dxa"/>
            <w:left w:w="108" w:type="dxa"/>
            <w:bottom w:w="0" w:type="dxa"/>
            <w:right w:w="108" w:type="dxa"/>
          </w:tblCellMar>
        </w:tblPrEx>
        <w:trPr>
          <w:trHeight w:val="720" w:hRule="atLeast"/>
        </w:trPr>
        <w:tc>
          <w:tcPr>
            <w:tcW w:w="10206" w:type="dxa"/>
            <w:gridSpan w:val="4"/>
            <w:tcBorders>
              <w:top w:val="single" w:color="auto" w:sz="4" w:space="0"/>
              <w:left w:val="single" w:color="auto" w:sz="4" w:space="0"/>
              <w:bottom w:val="single" w:color="auto" w:sz="4" w:space="0"/>
              <w:right w:val="single" w:color="000000" w:sz="4" w:space="0"/>
            </w:tcBorders>
            <w:shd w:val="clear" w:color="000000" w:fill="FFFFFF"/>
            <w:noWrap/>
            <w:vAlign w:val="center"/>
          </w:tcPr>
          <w:p>
            <w:pPr>
              <w:widowControl/>
              <w:autoSpaceDE/>
              <w:autoSpaceDN/>
              <w:jc w:val="center"/>
              <w:rPr>
                <w:color w:val="000000"/>
                <w:sz w:val="24"/>
                <w:szCs w:val="24"/>
                <w:lang w:eastAsia="zh-CN"/>
              </w:rPr>
            </w:pPr>
            <w:r>
              <w:rPr>
                <w:rFonts w:hint="eastAsia"/>
                <w:color w:val="000000"/>
                <w:sz w:val="24"/>
                <w:szCs w:val="24"/>
                <w:lang w:eastAsia="zh-CN"/>
              </w:rPr>
              <w:t>中国金属学会《钢铁行业智能废钢验质系统</w:t>
            </w:r>
            <w:bookmarkStart w:id="2" w:name="_GoBack"/>
            <w:bookmarkEnd w:id="2"/>
            <w:r>
              <w:rPr>
                <w:rFonts w:hint="eastAsia"/>
                <w:color w:val="000000"/>
                <w:sz w:val="24"/>
                <w:szCs w:val="24"/>
                <w:lang w:eastAsia="zh-CN"/>
              </w:rPr>
              <w:t>总体要求》团队标准参编单位列表</w:t>
            </w:r>
          </w:p>
        </w:tc>
      </w:tr>
      <w:tr>
        <w:tblPrEx>
          <w:tblCellMar>
            <w:top w:w="0" w:type="dxa"/>
            <w:left w:w="108" w:type="dxa"/>
            <w:bottom w:w="0" w:type="dxa"/>
            <w:right w:w="108" w:type="dxa"/>
          </w:tblCellMar>
        </w:tblPrEx>
        <w:trPr>
          <w:trHeight w:val="501"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序号</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单位名称</w:t>
            </w:r>
          </w:p>
        </w:tc>
        <w:tc>
          <w:tcPr>
            <w:tcW w:w="2629"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人员</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工作内容</w:t>
            </w:r>
          </w:p>
        </w:tc>
      </w:tr>
      <w:tr>
        <w:tblPrEx>
          <w:tblCellMar>
            <w:top w:w="0" w:type="dxa"/>
            <w:left w:w="108" w:type="dxa"/>
            <w:bottom w:w="0" w:type="dxa"/>
            <w:right w:w="108" w:type="dxa"/>
          </w:tblCellMar>
        </w:tblPrEx>
        <w:trPr>
          <w:trHeight w:val="576"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1</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河钢数字技术股份有限公司</w:t>
            </w:r>
          </w:p>
        </w:tc>
        <w:tc>
          <w:tcPr>
            <w:tcW w:w="2629" w:type="dxa"/>
            <w:tcBorders>
              <w:top w:val="nil"/>
              <w:left w:val="nil"/>
              <w:bottom w:val="single" w:color="auto" w:sz="4" w:space="0"/>
              <w:right w:val="single" w:color="auto" w:sz="4" w:space="0"/>
            </w:tcBorders>
            <w:shd w:val="clear" w:color="000000" w:fill="FFFFFF"/>
            <w:vAlign w:val="center"/>
          </w:tcPr>
          <w:p>
            <w:pPr>
              <w:widowControl/>
              <w:autoSpaceDE/>
              <w:autoSpaceDN/>
              <w:rPr>
                <w:color w:val="000000"/>
                <w:lang w:eastAsia="zh-CN"/>
              </w:rPr>
            </w:pPr>
            <w:r>
              <w:rPr>
                <w:rFonts w:hint="eastAsia"/>
                <w:color w:val="000000"/>
                <w:lang w:eastAsia="zh-CN"/>
              </w:rPr>
              <w:t>李毅仁、申培、郝亮、李玉涛、冯兴、</w:t>
            </w:r>
            <w:r>
              <w:rPr>
                <w:rFonts w:hint="eastAsia"/>
                <w:color w:val="000000"/>
                <w:lang w:val="en-US" w:eastAsia="zh-CN"/>
              </w:rPr>
              <w:t>陈云朋、</w:t>
            </w:r>
            <w:r>
              <w:rPr>
                <w:rFonts w:hint="eastAsia"/>
                <w:color w:val="000000"/>
                <w:lang w:eastAsia="zh-CN"/>
              </w:rPr>
              <w:t>韩文波、李骁</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2</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中国金属学会</w:t>
            </w:r>
          </w:p>
        </w:tc>
        <w:tc>
          <w:tcPr>
            <w:tcW w:w="2629"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　</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3</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河钢雄安数字科技有限公司</w:t>
            </w:r>
          </w:p>
        </w:tc>
        <w:tc>
          <w:tcPr>
            <w:tcW w:w="2629"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李宏鹏</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val="en-US" w:eastAsia="zh-CN"/>
              </w:rPr>
              <w:t>4</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中冶赛迪上海工程技术有限公司</w:t>
            </w:r>
          </w:p>
        </w:tc>
        <w:tc>
          <w:tcPr>
            <w:tcW w:w="2629" w:type="dxa"/>
            <w:tcBorders>
              <w:top w:val="nil"/>
              <w:left w:val="nil"/>
              <w:bottom w:val="single" w:color="auto" w:sz="4" w:space="0"/>
              <w:right w:val="single" w:color="auto" w:sz="4" w:space="0"/>
            </w:tcBorders>
            <w:shd w:val="clear" w:color="000000" w:fill="FFFFFF"/>
            <w:vAlign w:val="center"/>
          </w:tcPr>
          <w:p>
            <w:pPr>
              <w:widowControl/>
              <w:autoSpaceDE/>
              <w:autoSpaceDN/>
              <w:rPr>
                <w:color w:val="000000"/>
                <w:lang w:eastAsia="zh-CN"/>
              </w:rPr>
            </w:pPr>
            <w:r>
              <w:rPr>
                <w:rFonts w:hint="eastAsia"/>
                <w:color w:val="000000"/>
                <w:lang w:eastAsia="zh-CN"/>
              </w:rPr>
              <w:t>胡元祥、周嘉洛</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5</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湖南镭目科技有限公司</w:t>
            </w:r>
          </w:p>
        </w:tc>
        <w:tc>
          <w:tcPr>
            <w:tcW w:w="2629" w:type="dxa"/>
            <w:tcBorders>
              <w:top w:val="nil"/>
              <w:left w:val="nil"/>
              <w:bottom w:val="single" w:color="auto" w:sz="4" w:space="0"/>
              <w:right w:val="single" w:color="auto" w:sz="4" w:space="0"/>
            </w:tcBorders>
            <w:shd w:val="clear" w:color="000000" w:fill="FFFFFF"/>
            <w:vAlign w:val="center"/>
          </w:tcPr>
          <w:p>
            <w:pPr>
              <w:widowControl/>
              <w:autoSpaceDE/>
              <w:autoSpaceDN/>
              <w:rPr>
                <w:color w:val="000000"/>
                <w:lang w:eastAsia="zh-CN"/>
              </w:rPr>
            </w:pPr>
            <w:r>
              <w:rPr>
                <w:rFonts w:hint="eastAsia"/>
                <w:color w:val="000000"/>
                <w:lang w:eastAsia="zh-CN"/>
              </w:rPr>
              <w:t>田陆、田祖光</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6</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唐山惠唐物联科技有限公司</w:t>
            </w:r>
          </w:p>
        </w:tc>
        <w:tc>
          <w:tcPr>
            <w:tcW w:w="2629"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靳三峰</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7</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邯郸钢铁集团有限责任公司</w:t>
            </w:r>
          </w:p>
        </w:tc>
        <w:tc>
          <w:tcPr>
            <w:tcW w:w="2629" w:type="dxa"/>
            <w:tcBorders>
              <w:top w:val="nil"/>
              <w:left w:val="nil"/>
              <w:bottom w:val="single" w:color="auto" w:sz="4" w:space="0"/>
              <w:right w:val="single" w:color="auto" w:sz="4" w:space="0"/>
            </w:tcBorders>
            <w:shd w:val="clear" w:color="000000" w:fill="FFFFFF"/>
            <w:vAlign w:val="center"/>
          </w:tcPr>
          <w:p>
            <w:pPr>
              <w:widowControl/>
              <w:autoSpaceDE/>
              <w:autoSpaceDN/>
              <w:rPr>
                <w:color w:val="000000"/>
                <w:lang w:eastAsia="zh-CN"/>
              </w:rPr>
            </w:pPr>
            <w:r>
              <w:rPr>
                <w:rFonts w:hint="eastAsia"/>
                <w:color w:val="000000"/>
                <w:lang w:eastAsia="zh-CN"/>
              </w:rPr>
              <w:t xml:space="preserve">董进强、范佳 </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8</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舞阳钢铁有限责任公司</w:t>
            </w:r>
          </w:p>
        </w:tc>
        <w:tc>
          <w:tcPr>
            <w:tcW w:w="2629"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李翊凡</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9</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河钢集团衡水板业有限公司</w:t>
            </w:r>
          </w:p>
        </w:tc>
        <w:tc>
          <w:tcPr>
            <w:tcW w:w="2629" w:type="dxa"/>
            <w:tcBorders>
              <w:top w:val="nil"/>
              <w:left w:val="nil"/>
              <w:bottom w:val="single" w:color="auto" w:sz="4" w:space="0"/>
              <w:right w:val="single" w:color="auto" w:sz="4" w:space="0"/>
            </w:tcBorders>
            <w:shd w:val="clear" w:color="000000" w:fill="FFFFFF"/>
            <w:vAlign w:val="center"/>
          </w:tcPr>
          <w:p>
            <w:pPr>
              <w:widowControl/>
              <w:autoSpaceDE/>
              <w:autoSpaceDN/>
              <w:rPr>
                <w:color w:val="000000"/>
                <w:lang w:eastAsia="zh-CN"/>
              </w:rPr>
            </w:pPr>
            <w:r>
              <w:rPr>
                <w:rFonts w:hint="eastAsia"/>
                <w:color w:val="000000"/>
                <w:lang w:eastAsia="zh-CN"/>
              </w:rPr>
              <w:t>贾树理、苗志伟</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10</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唐山正丰钢铁有限公司</w:t>
            </w:r>
          </w:p>
        </w:tc>
        <w:tc>
          <w:tcPr>
            <w:tcW w:w="2629"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史洪举</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11</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 xml:space="preserve">河北津西钢铁集团股份有限公司 </w:t>
            </w:r>
          </w:p>
        </w:tc>
        <w:tc>
          <w:tcPr>
            <w:tcW w:w="2629" w:type="dxa"/>
            <w:tcBorders>
              <w:top w:val="nil"/>
              <w:left w:val="nil"/>
              <w:bottom w:val="single" w:color="auto" w:sz="4" w:space="0"/>
              <w:right w:val="single" w:color="auto" w:sz="4" w:space="0"/>
            </w:tcBorders>
            <w:shd w:val="clear" w:color="000000" w:fill="FFFFFF"/>
            <w:vAlign w:val="center"/>
          </w:tcPr>
          <w:p>
            <w:pPr>
              <w:widowControl/>
              <w:autoSpaceDE/>
              <w:autoSpaceDN/>
              <w:rPr>
                <w:color w:val="000000"/>
                <w:lang w:eastAsia="zh-CN"/>
              </w:rPr>
            </w:pPr>
            <w:r>
              <w:rPr>
                <w:rFonts w:hint="eastAsia"/>
                <w:color w:val="000000"/>
                <w:lang w:eastAsia="zh-CN"/>
              </w:rPr>
              <w:t>杨雪松、唐学锋</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r>
        <w:tblPrEx>
          <w:tblCellMar>
            <w:top w:w="0" w:type="dxa"/>
            <w:left w:w="108" w:type="dxa"/>
            <w:bottom w:w="0" w:type="dxa"/>
            <w:right w:w="108" w:type="dxa"/>
          </w:tblCellMar>
        </w:tblPrEx>
        <w:trPr>
          <w:trHeight w:val="288" w:hRule="atLeast"/>
        </w:trPr>
        <w:tc>
          <w:tcPr>
            <w:tcW w:w="436" w:type="dxa"/>
            <w:tcBorders>
              <w:top w:val="nil"/>
              <w:left w:val="single" w:color="auto" w:sz="4" w:space="0"/>
              <w:bottom w:val="single" w:color="auto" w:sz="4" w:space="0"/>
              <w:right w:val="nil"/>
            </w:tcBorders>
            <w:shd w:val="clear" w:color="000000" w:fill="FFFFFF"/>
            <w:noWrap/>
            <w:vAlign w:val="center"/>
          </w:tcPr>
          <w:p>
            <w:pPr>
              <w:widowControl/>
              <w:autoSpaceDE/>
              <w:autoSpaceDN/>
              <w:rPr>
                <w:color w:val="000000"/>
                <w:lang w:eastAsia="zh-CN"/>
              </w:rPr>
            </w:pPr>
            <w:r>
              <w:rPr>
                <w:rFonts w:hint="eastAsia"/>
                <w:color w:val="000000"/>
                <w:lang w:eastAsia="zh-CN"/>
              </w:rPr>
              <w:t>12</w:t>
            </w:r>
          </w:p>
        </w:tc>
        <w:tc>
          <w:tcPr>
            <w:tcW w:w="3178" w:type="dxa"/>
            <w:tcBorders>
              <w:top w:val="nil"/>
              <w:left w:val="single" w:color="auto" w:sz="4" w:space="0"/>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唐山东海钢铁集团有限公司</w:t>
            </w:r>
          </w:p>
        </w:tc>
        <w:tc>
          <w:tcPr>
            <w:tcW w:w="2629" w:type="dxa"/>
            <w:tcBorders>
              <w:top w:val="nil"/>
              <w:left w:val="nil"/>
              <w:bottom w:val="single" w:color="auto" w:sz="4" w:space="0"/>
              <w:right w:val="single" w:color="auto" w:sz="4" w:space="0"/>
            </w:tcBorders>
            <w:shd w:val="clear" w:color="000000" w:fill="FFFFFF"/>
            <w:vAlign w:val="center"/>
          </w:tcPr>
          <w:p>
            <w:pPr>
              <w:widowControl/>
              <w:autoSpaceDE/>
              <w:autoSpaceDN/>
              <w:rPr>
                <w:color w:val="000000"/>
                <w:lang w:eastAsia="zh-CN"/>
              </w:rPr>
            </w:pPr>
            <w:r>
              <w:rPr>
                <w:rFonts w:hint="eastAsia"/>
                <w:color w:val="000000"/>
                <w:lang w:eastAsia="zh-CN"/>
              </w:rPr>
              <w:t>孙晓旭、张有顺</w:t>
            </w:r>
          </w:p>
        </w:tc>
        <w:tc>
          <w:tcPr>
            <w:tcW w:w="3963" w:type="dxa"/>
            <w:tcBorders>
              <w:top w:val="nil"/>
              <w:left w:val="nil"/>
              <w:bottom w:val="single" w:color="auto" w:sz="4" w:space="0"/>
              <w:right w:val="single" w:color="auto" w:sz="4" w:space="0"/>
            </w:tcBorders>
            <w:shd w:val="clear" w:color="000000" w:fill="FFFFFF"/>
            <w:noWrap/>
            <w:vAlign w:val="center"/>
          </w:tcPr>
          <w:p>
            <w:pPr>
              <w:widowControl/>
              <w:autoSpaceDE/>
              <w:autoSpaceDN/>
              <w:rPr>
                <w:color w:val="000000"/>
                <w:lang w:eastAsia="zh-CN"/>
              </w:rPr>
            </w:pPr>
            <w:r>
              <w:rPr>
                <w:rFonts w:hint="eastAsia"/>
                <w:color w:val="000000"/>
                <w:lang w:eastAsia="zh-CN"/>
              </w:rPr>
              <w:t>编制工作计划、编写大纲、内容讨论与完善</w:t>
            </w:r>
          </w:p>
        </w:tc>
      </w:tr>
    </w:tbl>
    <w:p>
      <w:pPr>
        <w:pStyle w:val="9"/>
        <w:spacing w:before="120" w:beforeLines="50" w:after="120" w:afterLines="50"/>
        <w:ind w:left="102"/>
        <w:jc w:val="left"/>
        <w:rPr>
          <w:rFonts w:ascii="黑体" w:hAnsi="黑体" w:eastAsia="黑体" w:cs="Microsoft JhengHei"/>
          <w:b/>
          <w:bCs/>
          <w:sz w:val="28"/>
          <w:szCs w:val="28"/>
          <w:lang w:eastAsia="zh-CN"/>
        </w:rPr>
      </w:pPr>
      <w:r>
        <w:rPr>
          <w:rFonts w:hint="eastAsia" w:ascii="黑体" w:hAnsi="黑体" w:eastAsia="黑体" w:cs="Microsoft JhengHei"/>
          <w:b/>
          <w:bCs/>
          <w:sz w:val="28"/>
          <w:szCs w:val="28"/>
          <w:lang w:eastAsia="zh-CN"/>
        </w:rPr>
        <w:t>二</w:t>
      </w:r>
      <w:r>
        <w:rPr>
          <w:rFonts w:ascii="黑体" w:hAnsi="黑体" w:eastAsia="黑体" w:cs="Microsoft JhengHei"/>
          <w:b/>
          <w:bCs/>
          <w:sz w:val="28"/>
          <w:szCs w:val="28"/>
          <w:lang w:eastAsia="zh-CN"/>
        </w:rPr>
        <w:t>、编制原则</w:t>
      </w:r>
      <w:r>
        <w:rPr>
          <w:rFonts w:hint="eastAsia" w:ascii="黑体" w:hAnsi="黑体" w:eastAsia="黑体" w:cs="Microsoft JhengHei"/>
          <w:b/>
          <w:bCs/>
          <w:sz w:val="28"/>
          <w:szCs w:val="28"/>
          <w:lang w:eastAsia="zh-CN"/>
        </w:rPr>
        <w:t>和主要内容</w:t>
      </w:r>
    </w:p>
    <w:p>
      <w:pPr>
        <w:pStyle w:val="10"/>
        <w:spacing w:after="120" w:afterLines="50" w:line="600" w:lineRule="exact"/>
        <w:ind w:left="0" w:firstLine="562" w:firstLineChars="200"/>
        <w:rPr>
          <w:rFonts w:ascii="黑体" w:hAnsi="黑体" w:eastAsia="黑体"/>
          <w:sz w:val="28"/>
          <w:szCs w:val="28"/>
          <w:lang w:eastAsia="zh-CN"/>
        </w:rPr>
      </w:pPr>
      <w:r>
        <w:rPr>
          <w:rFonts w:ascii="黑体" w:hAnsi="黑体" w:eastAsia="黑体"/>
          <w:sz w:val="28"/>
          <w:szCs w:val="28"/>
          <w:lang w:eastAsia="zh-CN"/>
        </w:rPr>
        <w:t>1、</w:t>
      </w:r>
      <w:r>
        <w:rPr>
          <w:rFonts w:hint="eastAsia" w:ascii="黑体" w:hAnsi="黑体" w:eastAsia="黑体"/>
          <w:sz w:val="28"/>
          <w:szCs w:val="28"/>
          <w:lang w:eastAsia="zh-CN"/>
        </w:rPr>
        <w:t>编制原则</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《钢铁行业智能废钢验质系统总体要求》团体</w:t>
      </w:r>
      <w:r>
        <w:rPr>
          <w:color w:val="000000" w:themeColor="text1"/>
          <w:sz w:val="28"/>
          <w:szCs w:val="28"/>
          <w:lang w:eastAsia="zh-CN"/>
          <w14:textFill>
            <w14:solidFill>
              <w14:schemeClr w14:val="tx1"/>
            </w14:solidFill>
          </w14:textFill>
        </w:rPr>
        <w:t>标</w:t>
      </w:r>
      <w:r>
        <w:rPr>
          <w:spacing w:val="-6"/>
          <w:sz w:val="28"/>
          <w:szCs w:val="28"/>
          <w:lang w:eastAsia="zh-CN"/>
        </w:rPr>
        <w:t>准的编制遵循规范性、一致性和可操作性的原则。首先，标准的起草制定规范化，遵守与制定标准有关的基础标准及相关的法律法规的规定</w:t>
      </w:r>
      <w:r>
        <w:rPr>
          <w:rFonts w:hint="eastAsia"/>
          <w:color w:val="000000" w:themeColor="text1"/>
          <w:sz w:val="28"/>
          <w:szCs w:val="28"/>
          <w:lang w:eastAsia="zh-CN"/>
          <w14:textFill>
            <w14:solidFill>
              <w14:schemeClr w14:val="tx1"/>
            </w14:solidFill>
          </w14:textFill>
        </w:rPr>
        <w:t>。</w:t>
      </w:r>
      <w:r>
        <w:rPr>
          <w:color w:val="000000" w:themeColor="text1"/>
          <w:sz w:val="28"/>
          <w:szCs w:val="28"/>
          <w:lang w:eastAsia="zh-CN"/>
          <w14:textFill>
            <w14:solidFill>
              <w14:schemeClr w14:val="tx1"/>
            </w14:solidFill>
          </w14:textFill>
        </w:rPr>
        <w:t>其次，</w:t>
      </w:r>
      <w:r>
        <w:rPr>
          <w:rFonts w:hint="eastAsia"/>
          <w:color w:val="000000" w:themeColor="text1"/>
          <w:sz w:val="28"/>
          <w:szCs w:val="28"/>
          <w:lang w:eastAsia="zh-CN"/>
          <w14:textFill>
            <w14:solidFill>
              <w14:schemeClr w14:val="tx1"/>
            </w14:solidFill>
          </w14:textFill>
        </w:rPr>
        <w:t>该</w:t>
      </w:r>
      <w:r>
        <w:rPr>
          <w:color w:val="000000" w:themeColor="text1"/>
          <w:sz w:val="28"/>
          <w:szCs w:val="28"/>
          <w:lang w:eastAsia="zh-CN"/>
          <w14:textFill>
            <w14:solidFill>
              <w14:schemeClr w14:val="tx1"/>
            </w14:solidFill>
          </w14:textFill>
        </w:rPr>
        <w:t>标准的制定与现行的国家、行业</w:t>
      </w:r>
      <w:r>
        <w:rPr>
          <w:rFonts w:hint="eastAsia"/>
          <w:color w:val="000000" w:themeColor="text1"/>
          <w:sz w:val="28"/>
          <w:szCs w:val="28"/>
          <w:lang w:eastAsia="zh-CN"/>
          <w14:textFill>
            <w14:solidFill>
              <w14:schemeClr w14:val="tx1"/>
            </w14:solidFill>
          </w14:textFill>
        </w:rPr>
        <w:t>、地方</w:t>
      </w:r>
      <w:r>
        <w:rPr>
          <w:color w:val="000000" w:themeColor="text1"/>
          <w:sz w:val="28"/>
          <w:szCs w:val="28"/>
          <w:lang w:eastAsia="zh-CN"/>
          <w14:textFill>
            <w14:solidFill>
              <w14:schemeClr w14:val="tx1"/>
            </w14:solidFill>
          </w14:textFill>
        </w:rPr>
        <w:t>标准协调一致，相互兼容并有机衔接；再次，</w:t>
      </w:r>
      <w:r>
        <w:rPr>
          <w:rFonts w:hint="eastAsia"/>
          <w:color w:val="000000" w:themeColor="text1"/>
          <w:sz w:val="28"/>
          <w:szCs w:val="28"/>
          <w:lang w:eastAsia="zh-CN"/>
          <w14:textFill>
            <w14:solidFill>
              <w14:schemeClr w14:val="tx1"/>
            </w14:solidFill>
          </w14:textFill>
        </w:rPr>
        <w:t>该</w:t>
      </w:r>
      <w:r>
        <w:rPr>
          <w:color w:val="000000" w:themeColor="text1"/>
          <w:sz w:val="28"/>
          <w:szCs w:val="28"/>
          <w:lang w:eastAsia="zh-CN"/>
          <w14:textFill>
            <w14:solidFill>
              <w14:schemeClr w14:val="tx1"/>
            </w14:solidFill>
          </w14:textFill>
        </w:rPr>
        <w:t>标准的制定符合河北省</w:t>
      </w:r>
      <w:r>
        <w:rPr>
          <w:rFonts w:hint="eastAsia"/>
          <w:color w:val="000000" w:themeColor="text1"/>
          <w:sz w:val="28"/>
          <w:szCs w:val="28"/>
          <w:lang w:eastAsia="zh-CN"/>
          <w14:textFill>
            <w14:solidFill>
              <w14:schemeClr w14:val="tx1"/>
            </w14:solidFill>
          </w14:textFill>
        </w:rPr>
        <w:t>钢铁行业安全生产信息化管理</w:t>
      </w:r>
      <w:r>
        <w:rPr>
          <w:color w:val="000000" w:themeColor="text1"/>
          <w:sz w:val="28"/>
          <w:szCs w:val="28"/>
          <w:lang w:eastAsia="zh-CN"/>
          <w14:textFill>
            <w14:solidFill>
              <w14:schemeClr w14:val="tx1"/>
            </w14:solidFill>
          </w14:textFill>
        </w:rPr>
        <w:t>现状，可操作性强。</w:t>
      </w:r>
    </w:p>
    <w:p>
      <w:pPr>
        <w:pStyle w:val="10"/>
        <w:spacing w:after="120" w:afterLines="50" w:line="600" w:lineRule="exact"/>
        <w:ind w:left="0" w:firstLine="562" w:firstLineChars="200"/>
        <w:rPr>
          <w:rFonts w:ascii="黑体" w:hAnsi="黑体" w:eastAsia="黑体"/>
          <w:sz w:val="28"/>
          <w:szCs w:val="28"/>
          <w:lang w:eastAsia="zh-CN"/>
        </w:rPr>
      </w:pPr>
      <w:r>
        <w:rPr>
          <w:rFonts w:ascii="黑体" w:hAnsi="黑体" w:eastAsia="黑体"/>
          <w:sz w:val="28"/>
          <w:szCs w:val="28"/>
          <w:lang w:eastAsia="zh-CN"/>
        </w:rPr>
        <w:t>2、</w:t>
      </w:r>
      <w:r>
        <w:rPr>
          <w:rFonts w:hint="eastAsia" w:ascii="黑体" w:hAnsi="黑体" w:eastAsia="黑体"/>
          <w:sz w:val="28"/>
          <w:szCs w:val="28"/>
          <w:lang w:eastAsia="zh-CN"/>
        </w:rPr>
        <w:t>主要内容</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智能废钢验质系统主要包括废钢统一管理平台、自主研发的智能识别核心算法、智能交互终端。其中废钢统一管理平台主要针对应用系统平台规定技术要求。智能识别核心算法主要针对算法侧规定技术要求。智能交互终端主要针对硬件与交互方案规定技术要求。</w:t>
      </w:r>
    </w:p>
    <w:p>
      <w:pPr>
        <w:pStyle w:val="3"/>
        <w:spacing w:after="120" w:afterLines="50" w:line="600" w:lineRule="exact"/>
        <w:ind w:left="2040" w:firstLine="482" w:firstLineChars="200"/>
        <w:rPr>
          <w:b/>
          <w:bCs/>
          <w:color w:val="000000" w:themeColor="text1"/>
          <w:sz w:val="28"/>
          <w:szCs w:val="28"/>
          <w:lang w:eastAsia="zh-CN"/>
          <w14:textFill>
            <w14:solidFill>
              <w14:schemeClr w14:val="tx1"/>
            </w14:solidFill>
          </w14:textFill>
        </w:rPr>
      </w:pPr>
      <w:r>
        <w:rPr>
          <w:b/>
          <w:bCs/>
          <w:lang w:eastAsia="zh-CN"/>
        </w:rPr>
        <w:t xml:space="preserve">表1 </w:t>
      </w:r>
      <w:r>
        <w:rPr>
          <w:rFonts w:hint="eastAsia"/>
          <w:b/>
          <w:bCs/>
          <w:lang w:eastAsia="zh-CN"/>
        </w:rPr>
        <w:t>统一废钢管理平台</w:t>
      </w:r>
      <w:r>
        <w:rPr>
          <w:b/>
          <w:bCs/>
          <w:lang w:eastAsia="zh-CN"/>
        </w:rPr>
        <w:t>指标</w:t>
      </w:r>
    </w:p>
    <w:tbl>
      <w:tblPr>
        <w:tblStyle w:val="6"/>
        <w:tblW w:w="6900" w:type="dxa"/>
        <w:tblInd w:w="985" w:type="dxa"/>
        <w:tblLayout w:type="autofit"/>
        <w:tblCellMar>
          <w:top w:w="0" w:type="dxa"/>
          <w:left w:w="108" w:type="dxa"/>
          <w:bottom w:w="0" w:type="dxa"/>
          <w:right w:w="108" w:type="dxa"/>
        </w:tblCellMar>
      </w:tblPr>
      <w:tblGrid>
        <w:gridCol w:w="1840"/>
        <w:gridCol w:w="2780"/>
        <w:gridCol w:w="2280"/>
      </w:tblGrid>
      <w:tr>
        <w:tblPrEx>
          <w:tblCellMar>
            <w:top w:w="0" w:type="dxa"/>
            <w:left w:w="108" w:type="dxa"/>
            <w:bottom w:w="0" w:type="dxa"/>
            <w:right w:w="108" w:type="dxa"/>
          </w:tblCellMar>
        </w:tblPrEx>
        <w:trPr>
          <w:trHeight w:val="492" w:hRule="atLeast"/>
        </w:trPr>
        <w:tc>
          <w:tcPr>
            <w:tcW w:w="184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一级指标</w:t>
            </w:r>
          </w:p>
        </w:tc>
        <w:tc>
          <w:tcPr>
            <w:tcW w:w="2780" w:type="dxa"/>
            <w:tcBorders>
              <w:top w:val="single" w:color="auto" w:sz="4" w:space="0"/>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二级指标</w:t>
            </w:r>
          </w:p>
        </w:tc>
        <w:tc>
          <w:tcPr>
            <w:tcW w:w="2280" w:type="dxa"/>
            <w:tcBorders>
              <w:top w:val="single" w:color="auto" w:sz="4" w:space="0"/>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三级指标</w:t>
            </w:r>
          </w:p>
        </w:tc>
      </w:tr>
      <w:tr>
        <w:tblPrEx>
          <w:tblCellMar>
            <w:top w:w="0" w:type="dxa"/>
            <w:left w:w="108" w:type="dxa"/>
            <w:bottom w:w="0" w:type="dxa"/>
            <w:right w:w="108" w:type="dxa"/>
          </w:tblCellMar>
        </w:tblPrEx>
        <w:trPr>
          <w:trHeight w:val="624" w:hRule="atLeast"/>
        </w:trPr>
        <w:tc>
          <w:tcPr>
            <w:tcW w:w="184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设备管理能力</w:t>
            </w: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场所管理</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实施场所管理</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设备管理</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设备选型</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设备实施</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设备调试</w:t>
            </w:r>
          </w:p>
        </w:tc>
      </w:tr>
      <w:tr>
        <w:tblPrEx>
          <w:tblCellMar>
            <w:top w:w="0" w:type="dxa"/>
            <w:left w:w="108" w:type="dxa"/>
            <w:bottom w:w="0" w:type="dxa"/>
            <w:right w:w="108" w:type="dxa"/>
          </w:tblCellMar>
        </w:tblPrEx>
        <w:trPr>
          <w:trHeight w:val="624" w:hRule="atLeast"/>
        </w:trPr>
        <w:tc>
          <w:tcPr>
            <w:tcW w:w="184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数据管理能力</w:t>
            </w: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厂内数据管理</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数据获取与存储</w:t>
            </w:r>
          </w:p>
        </w:tc>
      </w:tr>
      <w:tr>
        <w:tblPrEx>
          <w:tblCellMar>
            <w:top w:w="0" w:type="dxa"/>
            <w:left w:w="108" w:type="dxa"/>
            <w:bottom w:w="0" w:type="dxa"/>
            <w:right w:w="108" w:type="dxa"/>
          </w:tblCellMar>
        </w:tblPrEx>
        <w:trPr>
          <w:trHeight w:val="624"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图片数据管理</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采集与处理</w:t>
            </w:r>
          </w:p>
        </w:tc>
      </w:tr>
      <w:tr>
        <w:tblPrEx>
          <w:tblCellMar>
            <w:top w:w="0" w:type="dxa"/>
            <w:left w:w="108" w:type="dxa"/>
            <w:bottom w:w="0" w:type="dxa"/>
            <w:right w:w="108" w:type="dxa"/>
          </w:tblCellMar>
        </w:tblPrEx>
        <w:trPr>
          <w:trHeight w:val="624"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视频数据管理</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视频存储</w:t>
            </w:r>
          </w:p>
        </w:tc>
      </w:tr>
      <w:tr>
        <w:tblPrEx>
          <w:tblCellMar>
            <w:top w:w="0" w:type="dxa"/>
            <w:left w:w="108" w:type="dxa"/>
            <w:bottom w:w="0" w:type="dxa"/>
            <w:right w:w="108" w:type="dxa"/>
          </w:tblCellMar>
        </w:tblPrEx>
        <w:trPr>
          <w:trHeight w:val="312" w:hRule="atLeast"/>
        </w:trPr>
        <w:tc>
          <w:tcPr>
            <w:tcW w:w="184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系统支撑能力</w:t>
            </w: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算法能力</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选型、开发、优化</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图像处理能力</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采集、汇聚、处理</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终端交互能力</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人机交互</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系统交互能力</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厂内与验质系统交互</w:t>
            </w:r>
          </w:p>
        </w:tc>
      </w:tr>
      <w:tr>
        <w:tblPrEx>
          <w:tblCellMar>
            <w:top w:w="0" w:type="dxa"/>
            <w:left w:w="108" w:type="dxa"/>
            <w:bottom w:w="0" w:type="dxa"/>
            <w:right w:w="108" w:type="dxa"/>
          </w:tblCellMar>
        </w:tblPrEx>
        <w:trPr>
          <w:trHeight w:val="312" w:hRule="atLeast"/>
        </w:trPr>
        <w:tc>
          <w:tcPr>
            <w:tcW w:w="184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应用能力</w:t>
            </w: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实时验质</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实时过程查看</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历史数据追溯</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历史数据追溯</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系统管理</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用户角色权限管理</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账户管理</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日志管理</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部门岗位管理</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指纹管理</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异议处理</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验质结果改判</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整车定级</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整车定级</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占比分析</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厚度占比分析</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异物预警</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危险品</w:t>
            </w:r>
          </w:p>
        </w:tc>
      </w:tr>
      <w:tr>
        <w:tblPrEx>
          <w:tblCellMar>
            <w:top w:w="0" w:type="dxa"/>
            <w:left w:w="108" w:type="dxa"/>
            <w:bottom w:w="0" w:type="dxa"/>
            <w:right w:w="108" w:type="dxa"/>
          </w:tblCellMar>
        </w:tblPrEx>
        <w:trPr>
          <w:trHeight w:val="312" w:hRule="atLeast"/>
        </w:trPr>
        <w:tc>
          <w:tcPr>
            <w:tcW w:w="1840"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27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多租户管理</w:t>
            </w:r>
          </w:p>
        </w:tc>
        <w:tc>
          <w:tcPr>
            <w:tcW w:w="228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数据隔离</w:t>
            </w:r>
          </w:p>
        </w:tc>
      </w:tr>
    </w:tbl>
    <w:p>
      <w:pPr>
        <w:pStyle w:val="3"/>
        <w:spacing w:after="120" w:afterLines="50" w:line="600" w:lineRule="exact"/>
        <w:ind w:left="2040" w:firstLine="482" w:firstLineChars="200"/>
        <w:rPr>
          <w:b/>
          <w:bCs/>
          <w:color w:val="000000" w:themeColor="text1"/>
          <w:sz w:val="28"/>
          <w:szCs w:val="28"/>
          <w:lang w:eastAsia="zh-CN"/>
          <w14:textFill>
            <w14:solidFill>
              <w14:schemeClr w14:val="tx1"/>
            </w14:solidFill>
          </w14:textFill>
        </w:rPr>
      </w:pPr>
      <w:r>
        <w:rPr>
          <w:b/>
          <w:bCs/>
          <w:lang w:eastAsia="zh-CN"/>
        </w:rPr>
        <w:t xml:space="preserve">表2 </w:t>
      </w:r>
      <w:r>
        <w:rPr>
          <w:rFonts w:hint="eastAsia"/>
          <w:b/>
          <w:bCs/>
          <w:lang w:eastAsia="zh-CN"/>
        </w:rPr>
        <w:t>智能识别核心算法</w:t>
      </w:r>
      <w:r>
        <w:rPr>
          <w:b/>
          <w:bCs/>
          <w:lang w:eastAsia="zh-CN"/>
        </w:rPr>
        <w:t>指标</w:t>
      </w:r>
    </w:p>
    <w:tbl>
      <w:tblPr>
        <w:tblStyle w:val="6"/>
        <w:tblW w:w="4840" w:type="dxa"/>
        <w:tblInd w:w="2011" w:type="dxa"/>
        <w:tblLayout w:type="autofit"/>
        <w:tblCellMar>
          <w:top w:w="0" w:type="dxa"/>
          <w:left w:w="108" w:type="dxa"/>
          <w:bottom w:w="0" w:type="dxa"/>
          <w:right w:w="108" w:type="dxa"/>
        </w:tblCellMar>
      </w:tblPr>
      <w:tblGrid>
        <w:gridCol w:w="1500"/>
        <w:gridCol w:w="2126"/>
        <w:gridCol w:w="1214"/>
      </w:tblGrid>
      <w:tr>
        <w:tblPrEx>
          <w:tblCellMar>
            <w:top w:w="0" w:type="dxa"/>
            <w:left w:w="108" w:type="dxa"/>
            <w:bottom w:w="0" w:type="dxa"/>
            <w:right w:w="108" w:type="dxa"/>
          </w:tblCellMar>
        </w:tblPrEx>
        <w:trPr>
          <w:trHeight w:val="492" w:hRule="atLeast"/>
        </w:trPr>
        <w:tc>
          <w:tcPr>
            <w:tcW w:w="15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一级指标</w:t>
            </w:r>
          </w:p>
        </w:tc>
        <w:tc>
          <w:tcPr>
            <w:tcW w:w="2126" w:type="dxa"/>
            <w:tcBorders>
              <w:top w:val="single" w:color="auto" w:sz="4" w:space="0"/>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二级指标</w:t>
            </w:r>
          </w:p>
        </w:tc>
        <w:tc>
          <w:tcPr>
            <w:tcW w:w="1214" w:type="dxa"/>
            <w:tcBorders>
              <w:top w:val="single" w:color="auto" w:sz="4" w:space="0"/>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三级指标</w:t>
            </w:r>
          </w:p>
        </w:tc>
      </w:tr>
      <w:tr>
        <w:trPr>
          <w:trHeight w:val="624" w:hRule="atLeast"/>
        </w:trPr>
        <w:tc>
          <w:tcPr>
            <w:tcW w:w="1500" w:type="dxa"/>
            <w:vMerge w:val="restart"/>
            <w:tcBorders>
              <w:top w:val="nil"/>
              <w:left w:val="single" w:color="auto" w:sz="4" w:space="0"/>
              <w:bottom w:val="nil"/>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算法选型</w:t>
            </w: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废钢区域抓取识别</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100%</w:t>
            </w:r>
          </w:p>
        </w:tc>
      </w:tr>
      <w:tr>
        <w:tblPrEx>
          <w:tblCellMar>
            <w:top w:w="0" w:type="dxa"/>
            <w:left w:w="108" w:type="dxa"/>
            <w:bottom w:w="0" w:type="dxa"/>
            <w:right w:w="108" w:type="dxa"/>
          </w:tblCellMar>
        </w:tblPrEx>
        <w:trPr>
          <w:trHeight w:val="312" w:hRule="atLeast"/>
        </w:trPr>
        <w:tc>
          <w:tcPr>
            <w:tcW w:w="1500" w:type="dxa"/>
            <w:vMerge w:val="continue"/>
            <w:tcBorders>
              <w:top w:val="nil"/>
              <w:left w:val="single" w:color="auto" w:sz="4" w:space="0"/>
              <w:bottom w:val="nil"/>
              <w:right w:val="single" w:color="auto" w:sz="4" w:space="0"/>
            </w:tcBorders>
            <w:vAlign w:val="center"/>
          </w:tcPr>
          <w:p>
            <w:pPr>
              <w:widowControl/>
              <w:autoSpaceDE/>
              <w:autoSpaceDN/>
              <w:rPr>
                <w:rFonts w:ascii="微软雅黑" w:hAnsi="微软雅黑" w:eastAsia="微软雅黑"/>
                <w:lang w:eastAsia="zh-CN"/>
              </w:rPr>
            </w:pP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吸盘/抓手追踪</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100%</w:t>
            </w:r>
          </w:p>
        </w:tc>
      </w:tr>
      <w:tr>
        <w:tblPrEx>
          <w:tblCellMar>
            <w:top w:w="0" w:type="dxa"/>
            <w:left w:w="108" w:type="dxa"/>
            <w:bottom w:w="0" w:type="dxa"/>
            <w:right w:w="108" w:type="dxa"/>
          </w:tblCellMar>
        </w:tblPrEx>
        <w:trPr>
          <w:trHeight w:val="312" w:hRule="atLeast"/>
        </w:trPr>
        <w:tc>
          <w:tcPr>
            <w:tcW w:w="1500" w:type="dxa"/>
            <w:vMerge w:val="continue"/>
            <w:tcBorders>
              <w:top w:val="nil"/>
              <w:left w:val="single" w:color="auto" w:sz="4" w:space="0"/>
              <w:bottom w:val="nil"/>
              <w:right w:val="single" w:color="auto" w:sz="4" w:space="0"/>
            </w:tcBorders>
            <w:vAlign w:val="center"/>
          </w:tcPr>
          <w:p>
            <w:pPr>
              <w:widowControl/>
              <w:autoSpaceDE/>
              <w:autoSpaceDN/>
              <w:rPr>
                <w:rFonts w:ascii="微软雅黑" w:hAnsi="微软雅黑" w:eastAsia="微软雅黑"/>
                <w:lang w:eastAsia="zh-CN"/>
              </w:rPr>
            </w:pP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废钢料型识别</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≥95%</w:t>
            </w:r>
          </w:p>
        </w:tc>
      </w:tr>
      <w:tr>
        <w:tblPrEx>
          <w:tblCellMar>
            <w:top w:w="0" w:type="dxa"/>
            <w:left w:w="108" w:type="dxa"/>
            <w:bottom w:w="0" w:type="dxa"/>
            <w:right w:w="108" w:type="dxa"/>
          </w:tblCellMar>
        </w:tblPrEx>
        <w:trPr>
          <w:trHeight w:val="312" w:hRule="atLeast"/>
        </w:trPr>
        <w:tc>
          <w:tcPr>
            <w:tcW w:w="1500" w:type="dxa"/>
            <w:vMerge w:val="continue"/>
            <w:tcBorders>
              <w:top w:val="nil"/>
              <w:left w:val="single" w:color="auto" w:sz="4" w:space="0"/>
              <w:bottom w:val="nil"/>
              <w:right w:val="single" w:color="auto" w:sz="4" w:space="0"/>
            </w:tcBorders>
            <w:vAlign w:val="center"/>
          </w:tcPr>
          <w:p>
            <w:pPr>
              <w:widowControl/>
              <w:autoSpaceDE/>
              <w:autoSpaceDN/>
              <w:rPr>
                <w:rFonts w:ascii="微软雅黑" w:hAnsi="微软雅黑" w:eastAsia="微软雅黑"/>
                <w:lang w:eastAsia="zh-CN"/>
              </w:rPr>
            </w:pP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异物检测</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≥95%</w:t>
            </w:r>
          </w:p>
        </w:tc>
      </w:tr>
      <w:tr>
        <w:tblPrEx>
          <w:tblCellMar>
            <w:top w:w="0" w:type="dxa"/>
            <w:left w:w="108" w:type="dxa"/>
            <w:bottom w:w="0" w:type="dxa"/>
            <w:right w:w="108" w:type="dxa"/>
          </w:tblCellMar>
        </w:tblPrEx>
        <w:trPr>
          <w:trHeight w:val="312" w:hRule="atLeast"/>
        </w:trPr>
        <w:tc>
          <w:tcPr>
            <w:tcW w:w="1500" w:type="dxa"/>
            <w:vMerge w:val="continue"/>
            <w:tcBorders>
              <w:top w:val="nil"/>
              <w:left w:val="single" w:color="auto" w:sz="4" w:space="0"/>
              <w:bottom w:val="nil"/>
              <w:right w:val="single" w:color="auto" w:sz="4" w:space="0"/>
            </w:tcBorders>
            <w:vAlign w:val="center"/>
          </w:tcPr>
          <w:p>
            <w:pPr>
              <w:widowControl/>
              <w:autoSpaceDE/>
              <w:autoSpaceDN/>
              <w:rPr>
                <w:rFonts w:ascii="微软雅黑" w:hAnsi="微软雅黑" w:eastAsia="微软雅黑"/>
                <w:lang w:eastAsia="zh-CN"/>
              </w:rPr>
            </w:pP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智能扣重</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≥90%</w:t>
            </w:r>
          </w:p>
        </w:tc>
      </w:tr>
      <w:tr>
        <w:tblPrEx>
          <w:tblCellMar>
            <w:top w:w="0" w:type="dxa"/>
            <w:left w:w="108" w:type="dxa"/>
            <w:bottom w:w="0" w:type="dxa"/>
            <w:right w:w="108" w:type="dxa"/>
          </w:tblCellMar>
        </w:tblPrEx>
        <w:trPr>
          <w:trHeight w:val="312" w:hRule="atLeast"/>
        </w:trPr>
        <w:tc>
          <w:tcPr>
            <w:tcW w:w="15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算法训练</w:t>
            </w: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图像获取</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高清稳定</w:t>
            </w:r>
          </w:p>
        </w:tc>
      </w:tr>
      <w:tr>
        <w:tblPrEx>
          <w:tblCellMar>
            <w:top w:w="0" w:type="dxa"/>
            <w:left w:w="108" w:type="dxa"/>
            <w:bottom w:w="0" w:type="dxa"/>
            <w:right w:w="108" w:type="dxa"/>
          </w:tblCellMar>
        </w:tblPrEx>
        <w:trPr>
          <w:trHeight w:val="312" w:hRule="atLeast"/>
        </w:trPr>
        <w:tc>
          <w:tcPr>
            <w:tcW w:w="1500"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图像标注</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精细标注</w:t>
            </w:r>
          </w:p>
        </w:tc>
      </w:tr>
      <w:tr>
        <w:trPr>
          <w:trHeight w:val="312" w:hRule="atLeast"/>
        </w:trPr>
        <w:tc>
          <w:tcPr>
            <w:tcW w:w="1500"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模型训练</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稳定在线</w:t>
            </w:r>
          </w:p>
        </w:tc>
      </w:tr>
      <w:tr>
        <w:tblPrEx>
          <w:tblCellMar>
            <w:top w:w="0" w:type="dxa"/>
            <w:left w:w="108" w:type="dxa"/>
            <w:bottom w:w="0" w:type="dxa"/>
            <w:right w:w="108" w:type="dxa"/>
          </w:tblCellMar>
        </w:tblPrEx>
        <w:trPr>
          <w:trHeight w:val="312" w:hRule="atLeast"/>
        </w:trPr>
        <w:tc>
          <w:tcPr>
            <w:tcW w:w="15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算法部署</w:t>
            </w: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系统接入</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稳定在线</w:t>
            </w:r>
          </w:p>
        </w:tc>
      </w:tr>
      <w:tr>
        <w:tblPrEx>
          <w:tblCellMar>
            <w:top w:w="0" w:type="dxa"/>
            <w:left w:w="108" w:type="dxa"/>
            <w:bottom w:w="0" w:type="dxa"/>
            <w:right w:w="108" w:type="dxa"/>
          </w:tblCellMar>
        </w:tblPrEx>
        <w:trPr>
          <w:trHeight w:val="312" w:hRule="atLeast"/>
        </w:trPr>
        <w:tc>
          <w:tcPr>
            <w:tcW w:w="1500" w:type="dxa"/>
            <w:vMerge w:val="continue"/>
            <w:tcBorders>
              <w:top w:val="nil"/>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模型调整</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稳定在线</w:t>
            </w:r>
          </w:p>
        </w:tc>
      </w:tr>
      <w:tr>
        <w:tblPrEx>
          <w:tblCellMar>
            <w:top w:w="0" w:type="dxa"/>
            <w:left w:w="108" w:type="dxa"/>
            <w:bottom w:w="0" w:type="dxa"/>
            <w:right w:w="108" w:type="dxa"/>
          </w:tblCellMar>
        </w:tblPrEx>
        <w:trPr>
          <w:trHeight w:val="312" w:hRule="atLeast"/>
        </w:trPr>
        <w:tc>
          <w:tcPr>
            <w:tcW w:w="1500" w:type="dxa"/>
            <w:vMerge w:val="continue"/>
            <w:tcBorders>
              <w:top w:val="nil"/>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126"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问题排查</w:t>
            </w:r>
          </w:p>
        </w:tc>
        <w:tc>
          <w:tcPr>
            <w:tcW w:w="121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稳定在线</w:t>
            </w:r>
          </w:p>
        </w:tc>
      </w:tr>
    </w:tbl>
    <w:p>
      <w:pPr>
        <w:pStyle w:val="3"/>
        <w:spacing w:after="120" w:afterLines="50" w:line="600" w:lineRule="exact"/>
        <w:ind w:left="2040" w:firstLine="482" w:firstLineChars="200"/>
        <w:rPr>
          <w:b/>
          <w:bCs/>
          <w:color w:val="000000" w:themeColor="text1"/>
          <w:sz w:val="28"/>
          <w:szCs w:val="28"/>
          <w:lang w:eastAsia="zh-CN"/>
          <w14:textFill>
            <w14:solidFill>
              <w14:schemeClr w14:val="tx1"/>
            </w14:solidFill>
          </w14:textFill>
        </w:rPr>
      </w:pPr>
      <w:r>
        <w:rPr>
          <w:b/>
          <w:bCs/>
          <w:lang w:eastAsia="zh-CN"/>
        </w:rPr>
        <w:t xml:space="preserve">表3 </w:t>
      </w:r>
      <w:r>
        <w:rPr>
          <w:rFonts w:hint="eastAsia"/>
          <w:b/>
          <w:bCs/>
          <w:lang w:eastAsia="zh-CN"/>
        </w:rPr>
        <w:t>智能识别核心算法</w:t>
      </w:r>
      <w:r>
        <w:rPr>
          <w:b/>
          <w:bCs/>
          <w:lang w:eastAsia="zh-CN"/>
        </w:rPr>
        <w:t>指标</w:t>
      </w:r>
    </w:p>
    <w:tbl>
      <w:tblPr>
        <w:tblStyle w:val="6"/>
        <w:tblW w:w="4460" w:type="dxa"/>
        <w:tblInd w:w="2203" w:type="dxa"/>
        <w:tblLayout w:type="autofit"/>
        <w:tblCellMar>
          <w:top w:w="0" w:type="dxa"/>
          <w:left w:w="108" w:type="dxa"/>
          <w:bottom w:w="0" w:type="dxa"/>
          <w:right w:w="108" w:type="dxa"/>
        </w:tblCellMar>
      </w:tblPr>
      <w:tblGrid>
        <w:gridCol w:w="1166"/>
        <w:gridCol w:w="2034"/>
        <w:gridCol w:w="1260"/>
      </w:tblGrid>
      <w:tr>
        <w:tblPrEx>
          <w:tblCellMar>
            <w:top w:w="0" w:type="dxa"/>
            <w:left w:w="108" w:type="dxa"/>
            <w:bottom w:w="0" w:type="dxa"/>
            <w:right w:w="108" w:type="dxa"/>
          </w:tblCellMar>
        </w:tblPrEx>
        <w:trPr>
          <w:trHeight w:val="492" w:hRule="atLeast"/>
        </w:trPr>
        <w:tc>
          <w:tcPr>
            <w:tcW w:w="116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一级指标</w:t>
            </w:r>
          </w:p>
        </w:tc>
        <w:tc>
          <w:tcPr>
            <w:tcW w:w="2034" w:type="dxa"/>
            <w:tcBorders>
              <w:top w:val="single" w:color="auto" w:sz="4" w:space="0"/>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二级指标</w:t>
            </w:r>
          </w:p>
        </w:tc>
        <w:tc>
          <w:tcPr>
            <w:tcW w:w="1260" w:type="dxa"/>
            <w:tcBorders>
              <w:top w:val="single" w:color="auto" w:sz="4" w:space="0"/>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三级指标</w:t>
            </w:r>
          </w:p>
        </w:tc>
      </w:tr>
      <w:tr>
        <w:tblPrEx>
          <w:tblCellMar>
            <w:top w:w="0" w:type="dxa"/>
            <w:left w:w="108" w:type="dxa"/>
            <w:bottom w:w="0" w:type="dxa"/>
            <w:right w:w="108" w:type="dxa"/>
          </w:tblCellMar>
        </w:tblPrEx>
        <w:trPr>
          <w:trHeight w:val="312" w:hRule="atLeast"/>
        </w:trPr>
        <w:tc>
          <w:tcPr>
            <w:tcW w:w="116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智能终端</w:t>
            </w:r>
          </w:p>
        </w:tc>
        <w:tc>
          <w:tcPr>
            <w:tcW w:w="2034"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流程控制</w:t>
            </w:r>
          </w:p>
        </w:tc>
        <w:tc>
          <w:tcPr>
            <w:tcW w:w="126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开始流程</w:t>
            </w:r>
          </w:p>
        </w:tc>
      </w:tr>
      <w:tr>
        <w:tblPrEx>
          <w:tblCellMar>
            <w:top w:w="0" w:type="dxa"/>
            <w:left w:w="108" w:type="dxa"/>
            <w:bottom w:w="0" w:type="dxa"/>
            <w:right w:w="108" w:type="dxa"/>
          </w:tblCellMar>
        </w:tblPrEx>
        <w:trPr>
          <w:trHeight w:val="312" w:hRule="atLeast"/>
        </w:trPr>
        <w:tc>
          <w:tcPr>
            <w:tcW w:w="1166" w:type="dxa"/>
            <w:vMerge w:val="continue"/>
            <w:tcBorders>
              <w:top w:val="nil"/>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034"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126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结束流程</w:t>
            </w:r>
          </w:p>
        </w:tc>
      </w:tr>
      <w:tr>
        <w:tblPrEx>
          <w:tblCellMar>
            <w:top w:w="0" w:type="dxa"/>
            <w:left w:w="108" w:type="dxa"/>
            <w:bottom w:w="0" w:type="dxa"/>
            <w:right w:w="108" w:type="dxa"/>
          </w:tblCellMar>
        </w:tblPrEx>
        <w:trPr>
          <w:trHeight w:val="312" w:hRule="atLeast"/>
        </w:trPr>
        <w:tc>
          <w:tcPr>
            <w:tcW w:w="1166" w:type="dxa"/>
            <w:vMerge w:val="continue"/>
            <w:tcBorders>
              <w:top w:val="nil"/>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034"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人机交互</w:t>
            </w:r>
          </w:p>
        </w:tc>
        <w:tc>
          <w:tcPr>
            <w:tcW w:w="126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操作简单</w:t>
            </w:r>
          </w:p>
        </w:tc>
      </w:tr>
      <w:tr>
        <w:tblPrEx>
          <w:tblCellMar>
            <w:top w:w="0" w:type="dxa"/>
            <w:left w:w="108" w:type="dxa"/>
            <w:bottom w:w="0" w:type="dxa"/>
            <w:right w:w="108" w:type="dxa"/>
          </w:tblCellMar>
        </w:tblPrEx>
        <w:trPr>
          <w:trHeight w:val="312" w:hRule="atLeast"/>
        </w:trPr>
        <w:tc>
          <w:tcPr>
            <w:tcW w:w="1166" w:type="dxa"/>
            <w:vMerge w:val="continue"/>
            <w:tcBorders>
              <w:top w:val="nil"/>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034" w:type="dxa"/>
            <w:vMerge w:val="continue"/>
            <w:tcBorders>
              <w:top w:val="nil"/>
              <w:left w:val="single" w:color="auto" w:sz="4" w:space="0"/>
              <w:bottom w:val="single" w:color="000000" w:sz="4" w:space="0"/>
              <w:right w:val="single" w:color="auto" w:sz="4" w:space="0"/>
            </w:tcBorders>
            <w:vAlign w:val="center"/>
          </w:tcPr>
          <w:p>
            <w:pPr>
              <w:widowControl/>
              <w:autoSpaceDE/>
              <w:autoSpaceDN/>
              <w:rPr>
                <w:rFonts w:ascii="微软雅黑" w:hAnsi="微软雅黑" w:eastAsia="微软雅黑"/>
                <w:lang w:eastAsia="zh-CN"/>
              </w:rPr>
            </w:pPr>
          </w:p>
        </w:tc>
        <w:tc>
          <w:tcPr>
            <w:tcW w:w="126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页面简洁</w:t>
            </w:r>
          </w:p>
        </w:tc>
      </w:tr>
      <w:tr>
        <w:tblPrEx>
          <w:tblCellMar>
            <w:top w:w="0" w:type="dxa"/>
            <w:left w:w="108" w:type="dxa"/>
            <w:bottom w:w="0" w:type="dxa"/>
            <w:right w:w="108" w:type="dxa"/>
          </w:tblCellMar>
        </w:tblPrEx>
        <w:trPr>
          <w:trHeight w:val="312" w:hRule="atLeast"/>
        </w:trPr>
        <w:tc>
          <w:tcPr>
            <w:tcW w:w="1166" w:type="dxa"/>
            <w:vMerge w:val="continue"/>
            <w:tcBorders>
              <w:top w:val="nil"/>
              <w:left w:val="single" w:color="auto" w:sz="4" w:space="0"/>
              <w:bottom w:val="single" w:color="auto" w:sz="4" w:space="0"/>
              <w:right w:val="single" w:color="auto" w:sz="4" w:space="0"/>
            </w:tcBorders>
            <w:vAlign w:val="center"/>
          </w:tcPr>
          <w:p>
            <w:pPr>
              <w:widowControl/>
              <w:autoSpaceDE/>
              <w:autoSpaceDN/>
              <w:rPr>
                <w:rFonts w:ascii="微软雅黑" w:hAnsi="微软雅黑" w:eastAsia="微软雅黑"/>
                <w:lang w:eastAsia="zh-CN"/>
              </w:rPr>
            </w:pPr>
          </w:p>
        </w:tc>
        <w:tc>
          <w:tcPr>
            <w:tcW w:w="2034"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设备质量</w:t>
            </w:r>
          </w:p>
        </w:tc>
        <w:tc>
          <w:tcPr>
            <w:tcW w:w="1260" w:type="dxa"/>
            <w:tcBorders>
              <w:top w:val="nil"/>
              <w:left w:val="nil"/>
              <w:bottom w:val="single" w:color="auto" w:sz="4" w:space="0"/>
              <w:right w:val="single" w:color="auto" w:sz="4" w:space="0"/>
            </w:tcBorders>
            <w:shd w:val="clear" w:color="000000" w:fill="FFFFFF"/>
            <w:vAlign w:val="center"/>
          </w:tcPr>
          <w:p>
            <w:pPr>
              <w:widowControl/>
              <w:autoSpaceDE/>
              <w:autoSpaceDN/>
              <w:jc w:val="center"/>
              <w:rPr>
                <w:rFonts w:ascii="微软雅黑" w:hAnsi="微软雅黑" w:eastAsia="微软雅黑"/>
                <w:lang w:eastAsia="zh-CN"/>
              </w:rPr>
            </w:pPr>
            <w:r>
              <w:rPr>
                <w:rFonts w:hint="eastAsia" w:ascii="微软雅黑" w:hAnsi="微软雅黑" w:eastAsia="微软雅黑"/>
                <w:lang w:eastAsia="zh-CN"/>
              </w:rPr>
              <w:t>稳定在线</w:t>
            </w:r>
          </w:p>
        </w:tc>
      </w:tr>
    </w:tbl>
    <w:p>
      <w:pPr>
        <w:pStyle w:val="10"/>
        <w:spacing w:after="120" w:afterLines="50" w:line="600" w:lineRule="exact"/>
        <w:ind w:left="0" w:firstLine="562" w:firstLineChars="200"/>
        <w:rPr>
          <w:rFonts w:ascii="黑体" w:hAnsi="黑体" w:eastAsia="黑体"/>
          <w:sz w:val="28"/>
          <w:szCs w:val="28"/>
          <w:lang w:eastAsia="zh-CN"/>
        </w:rPr>
      </w:pPr>
      <w:r>
        <w:rPr>
          <w:rFonts w:ascii="黑体" w:hAnsi="黑体" w:eastAsia="黑体"/>
          <w:sz w:val="28"/>
          <w:szCs w:val="28"/>
          <w:lang w:eastAsia="zh-CN"/>
        </w:rPr>
        <w:t>3、</w:t>
      </w:r>
      <w:r>
        <w:rPr>
          <w:rFonts w:hint="eastAsia" w:ascii="黑体" w:hAnsi="黑体" w:eastAsia="黑体"/>
          <w:sz w:val="28"/>
          <w:szCs w:val="28"/>
          <w:lang w:eastAsia="zh-CN"/>
        </w:rPr>
        <w:t>解决的主要问题</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（1）作业环境恶劣</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废钢定级作业环境较为恶劣，质检员每次需要攀高四五米到大货车车顶，对车内废钢进行近距离观察，劳动强度大，作业风险高。以每天检查15车的量计算，质检员相当于爬60层楼，检查两个篮球场的面积，工作强度大，而且以攀车近距离观察为主的人工质检，稍有不慎，就会造成难以承受的安全和经济事故。</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（2）主观因素影响，人工判级难度大</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废钢来源比较复杂，种类繁多、料型不一，光靠质检员的肉眼区分确实难度较大，难以量化和标准化。特别是物料中参杂易燃易爆物品、密闭容器等更加给企业带来严重的安全隐患问题。传统废钢的检验定级主要靠目测、卡尺测量及生产厂、技术中心监督员共同判定，人为因素大、手续较繁琐、判级质量异议较多。判级舞弊的现象时有发生。个别供货商为追求利益最大化会铤而走险，在装车送废钢时，施尽手段、费尽心机，甚至拉拢废钢验级人员，是废钢判级工作有强烈的主观臆断，给判级和管理工作带来难度。</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（3）无趁手工具，标准难以执行落实</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废钢行业筛选及判级标准逐步趋于完善和标准化，企业标准不断完善提升，但整体废钢验质判级过程无趁手工具，系统化标准体系无法具体落地，采购部门、质检部门、纪检部门、实地验质人员标准无法统一、量化、追溯、可实时观测，给废钢管理及定级产生了更多不确定因素。</w:t>
      </w:r>
    </w:p>
    <w:p>
      <w:pPr>
        <w:pStyle w:val="9"/>
        <w:spacing w:before="120" w:beforeLines="50" w:after="120" w:afterLines="50"/>
        <w:ind w:left="102"/>
        <w:jc w:val="left"/>
        <w:rPr>
          <w:rFonts w:ascii="黑体" w:hAnsi="黑体" w:eastAsia="黑体" w:cs="Microsoft JhengHei"/>
          <w:b/>
          <w:bCs/>
          <w:sz w:val="28"/>
          <w:szCs w:val="28"/>
          <w:lang w:eastAsia="zh-CN"/>
        </w:rPr>
      </w:pPr>
      <w:r>
        <w:rPr>
          <w:rFonts w:hint="eastAsia" w:ascii="黑体" w:hAnsi="黑体" w:eastAsia="黑体" w:cs="Microsoft JhengHei"/>
          <w:b/>
          <w:bCs/>
          <w:sz w:val="28"/>
          <w:szCs w:val="28"/>
          <w:lang w:eastAsia="zh-CN"/>
        </w:rPr>
        <w:t>三</w:t>
      </w:r>
      <w:r>
        <w:rPr>
          <w:rFonts w:ascii="黑体" w:hAnsi="黑体" w:eastAsia="黑体" w:cs="Microsoft JhengHei"/>
          <w:b/>
          <w:bCs/>
          <w:sz w:val="28"/>
          <w:szCs w:val="28"/>
          <w:lang w:eastAsia="zh-CN"/>
        </w:rPr>
        <w:t>、</w:t>
      </w:r>
      <w:r>
        <w:rPr>
          <w:rFonts w:hint="eastAsia" w:ascii="黑体" w:hAnsi="黑体" w:eastAsia="黑体" w:cs="Microsoft JhengHei"/>
          <w:b/>
          <w:bCs/>
          <w:sz w:val="28"/>
          <w:szCs w:val="28"/>
          <w:lang w:eastAsia="zh-CN"/>
        </w:rPr>
        <w:t>主要试验（或验证）情况分析</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自 2022 年 1 月</w:t>
      </w:r>
      <w:r>
        <w:rPr>
          <w:rFonts w:hint="eastAsia"/>
          <w:color w:val="000000" w:themeColor="text1"/>
          <w:sz w:val="28"/>
          <w:szCs w:val="28"/>
          <w:lang w:eastAsia="zh-CN"/>
          <w14:textFill>
            <w14:solidFill>
              <w14:schemeClr w14:val="tx1"/>
            </w14:solidFill>
          </w14:textFill>
        </w:rPr>
        <w:t>智能废钢验质系统在河钢舞钢运行</w:t>
      </w:r>
      <w:r>
        <w:rPr>
          <w:color w:val="000000" w:themeColor="text1"/>
          <w:sz w:val="28"/>
          <w:szCs w:val="28"/>
          <w:lang w:eastAsia="zh-CN"/>
          <w14:textFill>
            <w14:solidFill>
              <w14:schemeClr w14:val="tx1"/>
            </w14:solidFill>
          </w14:textFill>
        </w:rPr>
        <w:t>以来，</w:t>
      </w:r>
      <w:r>
        <w:rPr>
          <w:rFonts w:hint="eastAsia"/>
          <w:color w:val="000000" w:themeColor="text1"/>
          <w:sz w:val="28"/>
          <w:szCs w:val="28"/>
          <w:lang w:eastAsia="zh-CN"/>
          <w14:textFill>
            <w14:solidFill>
              <w14:schemeClr w14:val="tx1"/>
            </w14:solidFill>
          </w14:textFill>
        </w:rPr>
        <w:t>系统高效识别特厚、重型、中型、小型、轻薄料型 ，各料型判级准确率约在95%以上；对于危险品、密闭容器、爆炸物等异物识别准确率在9</w:t>
      </w:r>
      <w:r>
        <w:rPr>
          <w:color w:val="000000" w:themeColor="text1"/>
          <w:sz w:val="28"/>
          <w:szCs w:val="28"/>
          <w:lang w:eastAsia="zh-CN"/>
          <w14:textFill>
            <w14:solidFill>
              <w14:schemeClr w14:val="tx1"/>
            </w14:solidFill>
          </w14:textFill>
        </w:rPr>
        <w:t>5%</w:t>
      </w:r>
      <w:r>
        <w:rPr>
          <w:rFonts w:hint="eastAsia"/>
          <w:color w:val="000000" w:themeColor="text1"/>
          <w:sz w:val="28"/>
          <w:szCs w:val="28"/>
          <w:lang w:eastAsia="zh-CN"/>
          <w14:textFill>
            <w14:solidFill>
              <w14:schemeClr w14:val="tx1"/>
            </w14:solidFill>
          </w14:textFill>
        </w:rPr>
        <w:t>以上；系统扣重较人工扣重，误差基本保持在±1</w:t>
      </w:r>
      <w:r>
        <w:rPr>
          <w:color w:val="000000" w:themeColor="text1"/>
          <w:sz w:val="28"/>
          <w:szCs w:val="28"/>
          <w:lang w:eastAsia="zh-CN"/>
          <w14:textFill>
            <w14:solidFill>
              <w14:schemeClr w14:val="tx1"/>
            </w14:solidFill>
          </w14:textFill>
        </w:rPr>
        <w:t>00</w:t>
      </w:r>
      <w:r>
        <w:rPr>
          <w:rFonts w:hint="eastAsia"/>
          <w:color w:val="000000" w:themeColor="text1"/>
          <w:sz w:val="28"/>
          <w:szCs w:val="28"/>
          <w:lang w:eastAsia="zh-CN"/>
          <w14:textFill>
            <w14:solidFill>
              <w14:schemeClr w14:val="tx1"/>
            </w14:solidFill>
          </w14:textFill>
        </w:rPr>
        <w:t>kg以内。</w:t>
      </w:r>
    </w:p>
    <w:p>
      <w:pPr>
        <w:pStyle w:val="9"/>
        <w:spacing w:after="120" w:afterLines="50"/>
        <w:ind w:left="102"/>
        <w:jc w:val="left"/>
        <w:rPr>
          <w:rFonts w:ascii="黑体" w:hAnsi="黑体" w:eastAsia="黑体" w:cs="Microsoft JhengHei"/>
          <w:b/>
          <w:bCs/>
          <w:sz w:val="28"/>
          <w:szCs w:val="28"/>
          <w:lang w:eastAsia="zh-CN"/>
        </w:rPr>
      </w:pPr>
      <w:r>
        <w:rPr>
          <w:rFonts w:hint="eastAsia" w:ascii="黑体" w:hAnsi="黑体" w:eastAsia="黑体" w:cs="Microsoft JhengHei"/>
          <w:b/>
          <w:bCs/>
          <w:sz w:val="28"/>
          <w:szCs w:val="28"/>
          <w:lang w:eastAsia="zh-CN"/>
        </w:rPr>
        <w:t>四、</w:t>
      </w:r>
      <w:r>
        <w:rPr>
          <w:rFonts w:ascii="黑体" w:hAnsi="黑体" w:eastAsia="黑体" w:cs="Microsoft JhengHei"/>
          <w:b/>
          <w:bCs/>
          <w:sz w:val="28"/>
          <w:szCs w:val="28"/>
          <w:lang w:eastAsia="zh-CN"/>
        </w:rPr>
        <w:t>标准中涉及专利的情况</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bookmarkStart w:id="0" w:name="_Toc73956053"/>
      <w:bookmarkStart w:id="1" w:name="_Toc475694825"/>
      <w:r>
        <w:rPr>
          <w:color w:val="000000" w:themeColor="text1"/>
          <w:sz w:val="28"/>
          <w:szCs w:val="28"/>
          <w:lang w:eastAsia="zh-CN"/>
          <w14:textFill>
            <w14:solidFill>
              <w14:schemeClr w14:val="tx1"/>
            </w14:solidFill>
          </w14:textFill>
        </w:rPr>
        <w:t>本标准中未涉及专利的情况</w:t>
      </w:r>
      <w:bookmarkEnd w:id="0"/>
      <w:bookmarkEnd w:id="1"/>
    </w:p>
    <w:p>
      <w:pPr>
        <w:pStyle w:val="9"/>
        <w:spacing w:after="120" w:afterLines="50"/>
        <w:ind w:left="102"/>
        <w:jc w:val="left"/>
        <w:rPr>
          <w:rFonts w:ascii="黑体" w:hAnsi="黑体" w:eastAsia="黑体" w:cs="Microsoft JhengHei"/>
          <w:b/>
          <w:bCs/>
          <w:sz w:val="28"/>
          <w:szCs w:val="28"/>
          <w:lang w:eastAsia="zh-CN"/>
        </w:rPr>
      </w:pPr>
      <w:r>
        <w:rPr>
          <w:rFonts w:hint="eastAsia" w:ascii="黑体" w:hAnsi="黑体" w:eastAsia="黑体" w:cs="Microsoft JhengHei"/>
          <w:b/>
          <w:bCs/>
          <w:sz w:val="28"/>
          <w:szCs w:val="28"/>
          <w:lang w:eastAsia="zh-CN"/>
        </w:rPr>
        <w:t>五</w:t>
      </w:r>
      <w:r>
        <w:rPr>
          <w:rFonts w:ascii="黑体" w:hAnsi="黑体" w:eastAsia="黑体" w:cs="Microsoft JhengHei"/>
          <w:b/>
          <w:bCs/>
          <w:sz w:val="28"/>
          <w:szCs w:val="28"/>
          <w:lang w:eastAsia="zh-CN"/>
        </w:rPr>
        <w:t>、</w:t>
      </w:r>
      <w:r>
        <w:rPr>
          <w:rFonts w:hint="eastAsia" w:ascii="黑体" w:hAnsi="黑体" w:eastAsia="黑体" w:cs="Microsoft JhengHei"/>
          <w:b/>
          <w:bCs/>
          <w:sz w:val="28"/>
          <w:szCs w:val="28"/>
          <w:lang w:eastAsia="zh-CN"/>
        </w:rPr>
        <w:t>产业化情况、推广应用论证和预期达到的经济效果</w:t>
      </w:r>
    </w:p>
    <w:p>
      <w:pPr>
        <w:pStyle w:val="10"/>
        <w:spacing w:after="120" w:afterLines="50" w:line="600" w:lineRule="exact"/>
        <w:ind w:left="0" w:firstLine="562" w:firstLineChars="200"/>
        <w:rPr>
          <w:rFonts w:ascii="黑体" w:hAnsi="黑体" w:eastAsia="黑体"/>
          <w:sz w:val="28"/>
          <w:szCs w:val="28"/>
          <w:lang w:eastAsia="zh-CN"/>
        </w:rPr>
      </w:pPr>
      <w:r>
        <w:rPr>
          <w:rFonts w:ascii="黑体" w:hAnsi="黑体" w:eastAsia="黑体"/>
          <w:sz w:val="28"/>
          <w:szCs w:val="28"/>
          <w:lang w:eastAsia="zh-CN"/>
        </w:rPr>
        <w:t>1、</w:t>
      </w:r>
      <w:r>
        <w:rPr>
          <w:rFonts w:hint="eastAsia" w:ascii="黑体" w:hAnsi="黑体" w:eastAsia="黑体"/>
          <w:sz w:val="28"/>
          <w:szCs w:val="28"/>
          <w:lang w:eastAsia="zh-CN"/>
        </w:rPr>
        <w:t>产业化情况</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智能废钢验质系统已经在河钢舞钢、河钢邯钢成功上线运行，且公司也在积极对接意向用户。</w:t>
      </w:r>
    </w:p>
    <w:p>
      <w:pPr>
        <w:pStyle w:val="3"/>
        <w:spacing w:after="120" w:afterLines="50"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基于项目成功经验，项目组建立了一套完整的规范标准，包括开发标准、传输协议标准、服务接口标准等，着手建设基础设施层，提高服务层能力。搭建了更先进的平台框架，完善了平台核心服务功能，且经严格系统测试，确保了平台性能稳定性，可用于项目的快速部署与实施。</w:t>
      </w:r>
    </w:p>
    <w:p>
      <w:pPr>
        <w:pStyle w:val="10"/>
        <w:spacing w:after="120" w:afterLines="50" w:line="600" w:lineRule="exact"/>
        <w:ind w:left="0" w:firstLine="562" w:firstLineChars="200"/>
        <w:rPr>
          <w:rFonts w:ascii="黑体" w:hAnsi="黑体" w:eastAsia="黑体"/>
          <w:sz w:val="28"/>
          <w:szCs w:val="28"/>
          <w:lang w:eastAsia="zh-CN"/>
        </w:rPr>
      </w:pPr>
      <w:r>
        <w:rPr>
          <w:rFonts w:ascii="黑体" w:hAnsi="黑体" w:eastAsia="黑体"/>
          <w:sz w:val="28"/>
          <w:szCs w:val="28"/>
          <w:lang w:eastAsia="zh-CN"/>
        </w:rPr>
        <w:t>2、</w:t>
      </w:r>
      <w:r>
        <w:rPr>
          <w:rFonts w:hint="eastAsia" w:ascii="黑体" w:hAnsi="黑体" w:eastAsia="黑体"/>
          <w:sz w:val="28"/>
          <w:szCs w:val="28"/>
          <w:lang w:eastAsia="zh-CN"/>
        </w:rPr>
        <w:t>推广应用论证和预期达到的经济效果</w:t>
      </w:r>
    </w:p>
    <w:p>
      <w:pPr>
        <w:pStyle w:val="3"/>
        <w:spacing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1、经济效益</w:t>
      </w:r>
    </w:p>
    <w:p>
      <w:pPr>
        <w:pStyle w:val="3"/>
        <w:spacing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智能废钢验质系统的上线，提高了现场工作的运行效率，验质人员可远程验质大厅监控现场卸货情况，在有危险品等异物报警后，才需人员去现场确认。更是从根本上断绝了验质的主观意识，计算因人工验质带来的扣重、判级不准确等情况。从人员、采购、验质各环节均有效的降低了企业成本，每年预计可为钢企节省百万至千万元 。</w:t>
      </w:r>
    </w:p>
    <w:p>
      <w:pPr>
        <w:pStyle w:val="3"/>
        <w:spacing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2、社会效益</w:t>
      </w:r>
    </w:p>
    <w:p>
      <w:pPr>
        <w:pStyle w:val="3"/>
        <w:spacing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w:t>
      </w:r>
      <w:r>
        <w:rPr>
          <w:color w:val="000000" w:themeColor="text1"/>
          <w:sz w:val="28"/>
          <w:szCs w:val="28"/>
          <w:lang w:eastAsia="zh-CN"/>
          <w14:textFill>
            <w14:solidFill>
              <w14:schemeClr w14:val="tx1"/>
            </w14:solidFill>
          </w14:textFill>
        </w:rPr>
        <w:t>紧抓发展机遇促进行业变革</w:t>
      </w:r>
    </w:p>
    <w:p>
      <w:pPr>
        <w:pStyle w:val="3"/>
        <w:spacing w:line="60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基于人工智能技术的废钢验质系统紧抓产业升级和</w:t>
      </w:r>
      <w:r>
        <w:rPr>
          <w:rFonts w:hint="eastAsia"/>
          <w:color w:val="000000" w:themeColor="text1"/>
          <w:sz w:val="28"/>
          <w:szCs w:val="28"/>
          <w:lang w:eastAsia="zh-CN"/>
          <w14:textFill>
            <w14:solidFill>
              <w14:schemeClr w14:val="tx1"/>
            </w14:solidFill>
          </w14:textFill>
        </w:rPr>
        <w:t>行业</w:t>
      </w:r>
      <w:r>
        <w:rPr>
          <w:color w:val="000000" w:themeColor="text1"/>
          <w:sz w:val="28"/>
          <w:szCs w:val="28"/>
          <w:lang w:eastAsia="zh-CN"/>
          <w14:textFill>
            <w14:solidFill>
              <w14:schemeClr w14:val="tx1"/>
            </w14:solidFill>
          </w14:textFill>
        </w:rPr>
        <w:t>高质量发展的机遇，对行业进行变更，通过新技术赋能传统产业升级。</w:t>
      </w:r>
    </w:p>
    <w:p>
      <w:pPr>
        <w:pStyle w:val="3"/>
        <w:spacing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（2）</w:t>
      </w:r>
      <w:r>
        <w:rPr>
          <w:color w:val="000000" w:themeColor="text1"/>
          <w:sz w:val="28"/>
          <w:szCs w:val="28"/>
          <w:lang w:eastAsia="zh-CN"/>
          <w14:textFill>
            <w14:solidFill>
              <w14:schemeClr w14:val="tx1"/>
            </w14:solidFill>
          </w14:textFill>
        </w:rPr>
        <w:t>贯彻循环经济推动双碳战略</w:t>
      </w:r>
    </w:p>
    <w:p>
      <w:pPr>
        <w:pStyle w:val="3"/>
        <w:spacing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智能废钢验质系统</w:t>
      </w:r>
      <w:r>
        <w:rPr>
          <w:color w:val="000000" w:themeColor="text1"/>
          <w:sz w:val="28"/>
          <w:szCs w:val="28"/>
          <w:lang w:eastAsia="zh-CN"/>
          <w14:textFill>
            <w14:solidFill>
              <w14:schemeClr w14:val="tx1"/>
            </w14:solidFill>
          </w14:textFill>
        </w:rPr>
        <w:t>对发展钢铁绿色循环，节约原生资源，降低能耗，减少固体废物排放，推动发展短流程电炉炼钢，推进钢铁行业碳减排事关产业结构、能源结构、产品结构优化调整等方方面面，助力钢铁行业在“碳达峰、碳中和”中做出积极贡献。</w:t>
      </w:r>
    </w:p>
    <w:p>
      <w:pPr>
        <w:pStyle w:val="3"/>
        <w:spacing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（3）</w:t>
      </w:r>
      <w:r>
        <w:rPr>
          <w:color w:val="000000" w:themeColor="text1"/>
          <w:sz w:val="28"/>
          <w:szCs w:val="28"/>
          <w:lang w:eastAsia="zh-CN"/>
          <w14:textFill>
            <w14:solidFill>
              <w14:schemeClr w14:val="tx1"/>
            </w14:solidFill>
          </w14:textFill>
        </w:rPr>
        <w:t>填补行业技术空白</w:t>
      </w:r>
    </w:p>
    <w:p>
      <w:pPr>
        <w:pStyle w:val="3"/>
        <w:spacing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河钢数字</w:t>
      </w:r>
      <w:r>
        <w:rPr>
          <w:color w:val="000000" w:themeColor="text1"/>
          <w:sz w:val="28"/>
          <w:szCs w:val="28"/>
          <w:lang w:eastAsia="zh-CN"/>
          <w14:textFill>
            <w14:solidFill>
              <w14:schemeClr w14:val="tx1"/>
            </w14:solidFill>
          </w14:textFill>
        </w:rPr>
        <w:t>所建立的基于人工智能技术的废钢验质系统，目前为国内领先水平。该技术得到推广使用后，将对我国废钢识别技术提高起到示范带动作用，增强国内智能废钢验质系统的市场竞争力。</w:t>
      </w:r>
    </w:p>
    <w:p>
      <w:pPr>
        <w:pStyle w:val="3"/>
        <w:spacing w:line="600" w:lineRule="exact"/>
        <w:ind w:firstLine="560" w:firstLineChars="200"/>
        <w:rPr>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（4）</w:t>
      </w:r>
      <w:r>
        <w:rPr>
          <w:color w:val="000000" w:themeColor="text1"/>
          <w:sz w:val="28"/>
          <w:szCs w:val="28"/>
          <w:lang w:eastAsia="zh-CN"/>
          <w14:textFill>
            <w14:solidFill>
              <w14:schemeClr w14:val="tx1"/>
            </w14:solidFill>
          </w14:textFill>
        </w:rPr>
        <w:t>有助于打造行业标准</w:t>
      </w:r>
    </w:p>
    <w:p>
      <w:pPr>
        <w:pStyle w:val="3"/>
        <w:spacing w:line="60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传统辨识废钢等级完全靠验钢员经验，工作强度大，标准不一致，且有廉政风险。针对废钢种类多、实际检测情景复杂、人工系统衔接等问题，该系统实现了废钢验收全流程的无人化废钢等级智能识别与自动验判，提升整个行业废钢检验的远程化、智能化水平。</w:t>
      </w:r>
      <w:r>
        <w:rPr>
          <w:rFonts w:hint="eastAsia"/>
          <w:color w:val="000000" w:themeColor="text1"/>
          <w:sz w:val="28"/>
          <w:szCs w:val="28"/>
          <w:lang w:eastAsia="zh-CN"/>
          <w14:textFill>
            <w14:solidFill>
              <w14:schemeClr w14:val="tx1"/>
            </w14:solidFill>
          </w14:textFill>
        </w:rPr>
        <w:t>2</w:t>
      </w:r>
      <w:r>
        <w:rPr>
          <w:color w:val="000000" w:themeColor="text1"/>
          <w:sz w:val="28"/>
          <w:szCs w:val="28"/>
          <w:lang w:eastAsia="zh-CN"/>
          <w14:textFill>
            <w14:solidFill>
              <w14:schemeClr w14:val="tx1"/>
            </w14:solidFill>
          </w14:textFill>
        </w:rPr>
        <w:t>021</w:t>
      </w:r>
      <w:r>
        <w:rPr>
          <w:rFonts w:hint="eastAsia"/>
          <w:color w:val="000000" w:themeColor="text1"/>
          <w:sz w:val="28"/>
          <w:szCs w:val="28"/>
          <w:lang w:eastAsia="zh-CN"/>
          <w14:textFill>
            <w14:solidFill>
              <w14:schemeClr w14:val="tx1"/>
            </w14:solidFill>
          </w14:textFill>
        </w:rPr>
        <w:t>年7月河钢集团做出战略部署，将建设废钢智能验质系统。该系统建成后在集团内部钢铁企业示范应用，并逐步推广至河北省内其他钢铁或涉钢企业，有</w:t>
      </w:r>
      <w:r>
        <w:rPr>
          <w:color w:val="000000" w:themeColor="text1"/>
          <w:sz w:val="28"/>
          <w:szCs w:val="28"/>
          <w:lang w:eastAsia="zh-CN"/>
          <w14:textFill>
            <w14:solidFill>
              <w14:schemeClr w14:val="tx1"/>
            </w14:solidFill>
          </w14:textFill>
        </w:rPr>
        <w:t>助于打造行业标准，提高资源利用和判级提供标准参考，对推动我</w:t>
      </w:r>
      <w:r>
        <w:rPr>
          <w:rFonts w:hint="eastAsia"/>
          <w:color w:val="000000" w:themeColor="text1"/>
          <w:sz w:val="28"/>
          <w:szCs w:val="28"/>
          <w:lang w:eastAsia="zh-CN"/>
          <w14:textFill>
            <w14:solidFill>
              <w14:schemeClr w14:val="tx1"/>
            </w14:solidFill>
          </w14:textFill>
        </w:rPr>
        <w:t>省</w:t>
      </w:r>
      <w:r>
        <w:rPr>
          <w:color w:val="000000" w:themeColor="text1"/>
          <w:sz w:val="28"/>
          <w:szCs w:val="28"/>
          <w:lang w:eastAsia="zh-CN"/>
          <w14:textFill>
            <w14:solidFill>
              <w14:schemeClr w14:val="tx1"/>
            </w14:solidFill>
          </w14:textFill>
        </w:rPr>
        <w:t>钢铁行业从长流程工艺逐步向短流程工艺转型有重要意义</w:t>
      </w:r>
      <w:r>
        <w:rPr>
          <w:rFonts w:hint="eastAsia"/>
          <w:color w:val="000000" w:themeColor="text1"/>
          <w:sz w:val="28"/>
          <w:szCs w:val="28"/>
          <w:lang w:eastAsia="zh-CN"/>
          <w14:textFill>
            <w14:solidFill>
              <w14:schemeClr w14:val="tx1"/>
            </w14:solidFill>
          </w14:textFill>
        </w:rPr>
        <w:t>。</w:t>
      </w:r>
    </w:p>
    <w:p>
      <w:pPr>
        <w:pStyle w:val="9"/>
        <w:spacing w:before="120" w:beforeLines="50" w:after="120" w:afterLines="50"/>
        <w:ind w:left="102"/>
        <w:jc w:val="left"/>
        <w:rPr>
          <w:rFonts w:ascii="黑体" w:hAnsi="黑体" w:eastAsia="黑体" w:cs="Microsoft JhengHei"/>
          <w:b/>
          <w:bCs/>
          <w:sz w:val="28"/>
          <w:szCs w:val="28"/>
          <w:lang w:eastAsia="zh-CN"/>
        </w:rPr>
      </w:pPr>
      <w:r>
        <w:rPr>
          <w:rFonts w:hint="eastAsia" w:ascii="黑体" w:hAnsi="黑体" w:eastAsia="黑体" w:cs="Microsoft JhengHei"/>
          <w:b/>
          <w:bCs/>
          <w:sz w:val="28"/>
          <w:szCs w:val="28"/>
          <w:lang w:eastAsia="zh-CN"/>
        </w:rPr>
        <w:t>六、</w:t>
      </w:r>
      <w:r>
        <w:rPr>
          <w:rFonts w:ascii="黑体" w:hAnsi="黑体" w:eastAsia="黑体" w:cs="Microsoft JhengHei"/>
          <w:b/>
          <w:bCs/>
          <w:sz w:val="28"/>
          <w:szCs w:val="28"/>
          <w:lang w:eastAsia="zh-CN"/>
        </w:rPr>
        <w:t>与国际、国外对比情况</w:t>
      </w:r>
    </w:p>
    <w:p>
      <w:pPr>
        <w:pStyle w:val="3"/>
        <w:spacing w:line="60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 xml:space="preserve">本标准没有采用国际标准。 </w:t>
      </w:r>
    </w:p>
    <w:p>
      <w:pPr>
        <w:pStyle w:val="3"/>
        <w:spacing w:line="60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本标准制定过程中未查到同类国际、国外标准。</w:t>
      </w:r>
    </w:p>
    <w:p>
      <w:pPr>
        <w:pStyle w:val="9"/>
        <w:spacing w:before="120" w:beforeLines="50" w:after="120" w:afterLines="50"/>
        <w:ind w:left="102"/>
        <w:jc w:val="left"/>
        <w:rPr>
          <w:rFonts w:ascii="黑体" w:hAnsi="黑体" w:eastAsia="黑体" w:cs="Microsoft JhengHei"/>
          <w:b/>
          <w:bCs/>
          <w:sz w:val="28"/>
          <w:szCs w:val="28"/>
          <w:lang w:eastAsia="zh-CN"/>
        </w:rPr>
      </w:pPr>
      <w:r>
        <w:rPr>
          <w:rFonts w:hint="eastAsia" w:ascii="黑体" w:hAnsi="黑体" w:eastAsia="黑体" w:cs="Microsoft JhengHei"/>
          <w:b/>
          <w:bCs/>
          <w:sz w:val="28"/>
          <w:szCs w:val="28"/>
          <w:lang w:eastAsia="zh-CN"/>
        </w:rPr>
        <w:t>七、与现行相关法律、法规、规章及相关标准，特别是强制性标准的协调性</w:t>
      </w:r>
    </w:p>
    <w:p>
      <w:pPr>
        <w:pStyle w:val="3"/>
        <w:spacing w:line="600" w:lineRule="exact"/>
        <w:ind w:firstLine="560" w:firstLineChars="200"/>
        <w:rPr>
          <w:color w:val="000000" w:themeColor="text1"/>
          <w:sz w:val="28"/>
          <w:szCs w:val="28"/>
          <w:lang w:eastAsia="zh-CN"/>
          <w14:textFill>
            <w14:solidFill>
              <w14:schemeClr w14:val="tx1"/>
            </w14:solidFill>
          </w14:textFill>
        </w:rPr>
      </w:pPr>
      <w:r>
        <w:rPr>
          <w:color w:val="000000" w:themeColor="text1"/>
          <w:sz w:val="28"/>
          <w:szCs w:val="28"/>
          <w:lang w:eastAsia="zh-CN"/>
          <w14:textFill>
            <w14:solidFill>
              <w14:schemeClr w14:val="tx1"/>
            </w14:solidFill>
          </w14:textFill>
        </w:rPr>
        <w:t>本标准的制定符合相关法律法规、产业政策和强制性标准的要求，与国家推荐性相关标准协调一致。</w:t>
      </w:r>
    </w:p>
    <w:p>
      <w:pPr>
        <w:pStyle w:val="9"/>
        <w:spacing w:before="120" w:beforeLines="50" w:after="120" w:afterLines="50"/>
        <w:ind w:left="102"/>
        <w:jc w:val="left"/>
        <w:rPr>
          <w:rFonts w:ascii="黑体" w:hAnsi="黑体" w:eastAsia="黑体" w:cs="Microsoft JhengHei"/>
          <w:b/>
          <w:bCs/>
          <w:sz w:val="28"/>
          <w:szCs w:val="28"/>
          <w:lang w:eastAsia="zh-CN"/>
        </w:rPr>
      </w:pPr>
      <w:r>
        <w:rPr>
          <w:rFonts w:hint="eastAsia" w:ascii="黑体" w:hAnsi="黑体" w:eastAsia="黑体" w:cs="Microsoft JhengHei"/>
          <w:b/>
          <w:bCs/>
          <w:sz w:val="28"/>
          <w:szCs w:val="28"/>
          <w:lang w:eastAsia="zh-CN"/>
        </w:rPr>
        <w:t>八、重大意见分歧的处理结果和依据</w:t>
      </w:r>
    </w:p>
    <w:p>
      <w:pPr>
        <w:pStyle w:val="3"/>
        <w:spacing w:after="120" w:afterLines="50" w:line="600" w:lineRule="exact"/>
        <w:ind w:firstLine="520" w:firstLineChars="200"/>
        <w:jc w:val="both"/>
        <w:rPr>
          <w:spacing w:val="-10"/>
          <w:sz w:val="28"/>
          <w:szCs w:val="28"/>
          <w:lang w:eastAsia="zh-CN"/>
        </w:rPr>
      </w:pPr>
      <w:r>
        <w:rPr>
          <w:rFonts w:hint="eastAsia"/>
          <w:spacing w:val="-10"/>
          <w:sz w:val="28"/>
          <w:szCs w:val="28"/>
          <w:lang w:eastAsia="zh-CN"/>
        </w:rPr>
        <w:t>未发生重大意见分歧情况。</w:t>
      </w:r>
    </w:p>
    <w:p>
      <w:pPr>
        <w:pStyle w:val="9"/>
        <w:spacing w:before="120" w:beforeLines="50" w:after="120" w:afterLines="50"/>
        <w:ind w:left="102"/>
        <w:jc w:val="left"/>
        <w:rPr>
          <w:rFonts w:ascii="黑体" w:hAnsi="黑体" w:eastAsia="黑体" w:cs="Microsoft JhengHei"/>
          <w:b/>
          <w:bCs/>
          <w:sz w:val="28"/>
          <w:szCs w:val="28"/>
          <w:lang w:eastAsia="zh-CN"/>
        </w:rPr>
      </w:pPr>
      <w:r>
        <w:rPr>
          <w:rFonts w:hint="eastAsia" w:ascii="黑体" w:hAnsi="黑体" w:eastAsia="黑体" w:cs="Microsoft JhengHei"/>
          <w:b/>
          <w:bCs/>
          <w:sz w:val="28"/>
          <w:szCs w:val="28"/>
          <w:lang w:eastAsia="zh-CN"/>
        </w:rPr>
        <w:t>九、提出标准实施的建议</w:t>
      </w:r>
    </w:p>
    <w:p>
      <w:pPr>
        <w:pStyle w:val="3"/>
        <w:spacing w:after="120" w:afterLines="50" w:line="600" w:lineRule="exact"/>
        <w:ind w:firstLine="560" w:firstLineChars="200"/>
        <w:rPr>
          <w:sz w:val="28"/>
          <w:szCs w:val="28"/>
          <w:lang w:eastAsia="zh-CN"/>
        </w:rPr>
      </w:pPr>
      <w:r>
        <w:rPr>
          <w:rFonts w:hint="eastAsia"/>
          <w:sz w:val="28"/>
          <w:szCs w:val="28"/>
          <w:lang w:eastAsia="zh-CN"/>
        </w:rPr>
        <w:t>无。</w:t>
      </w:r>
    </w:p>
    <w:p>
      <w:pPr>
        <w:pStyle w:val="9"/>
        <w:spacing w:before="120" w:beforeLines="50" w:after="120" w:afterLines="50"/>
        <w:ind w:left="102"/>
        <w:jc w:val="left"/>
        <w:rPr>
          <w:rFonts w:ascii="黑体" w:hAnsi="黑体" w:eastAsia="黑体" w:cs="Microsoft JhengHei"/>
          <w:b/>
          <w:bCs/>
          <w:sz w:val="28"/>
          <w:szCs w:val="28"/>
          <w:lang w:eastAsia="zh-CN"/>
        </w:rPr>
      </w:pPr>
      <w:r>
        <w:rPr>
          <w:rFonts w:hint="eastAsia" w:ascii="黑体" w:hAnsi="黑体" w:eastAsia="黑体" w:cs="Microsoft JhengHei"/>
          <w:b/>
          <w:bCs/>
          <w:sz w:val="28"/>
          <w:szCs w:val="28"/>
          <w:lang w:eastAsia="zh-CN"/>
        </w:rPr>
        <w:t>十、其他应予说明的事项</w:t>
      </w:r>
    </w:p>
    <w:p>
      <w:pPr>
        <w:pStyle w:val="3"/>
        <w:spacing w:after="120" w:afterLines="50" w:line="600" w:lineRule="exact"/>
        <w:ind w:firstLine="560" w:firstLineChars="200"/>
        <w:rPr>
          <w:sz w:val="28"/>
          <w:szCs w:val="28"/>
          <w:lang w:eastAsia="zh-CN"/>
        </w:rPr>
      </w:pPr>
      <w:r>
        <w:rPr>
          <w:rFonts w:hint="eastAsia"/>
          <w:sz w:val="28"/>
          <w:szCs w:val="28"/>
          <w:lang w:eastAsia="zh-CN"/>
        </w:rPr>
        <w:t>无。</w:t>
      </w:r>
    </w:p>
    <w:p>
      <w:pPr>
        <w:pStyle w:val="3"/>
        <w:spacing w:after="120" w:afterLines="50" w:line="600" w:lineRule="exact"/>
        <w:jc w:val="right"/>
        <w:rPr>
          <w:sz w:val="28"/>
          <w:szCs w:val="28"/>
          <w:lang w:eastAsia="zh-CN"/>
        </w:rPr>
      </w:pPr>
      <w:r>
        <w:rPr>
          <w:rFonts w:hint="eastAsia"/>
          <w:sz w:val="28"/>
          <w:szCs w:val="28"/>
          <w:lang w:eastAsia="zh-CN"/>
        </w:rPr>
        <w:t>《钢铁行业智能废钢验质系统总体要求》</w:t>
      </w:r>
      <w:r>
        <w:rPr>
          <w:sz w:val="28"/>
          <w:szCs w:val="28"/>
          <w:lang w:eastAsia="zh-CN"/>
        </w:rPr>
        <w:t>标准起草组</w:t>
      </w:r>
    </w:p>
    <w:p>
      <w:pPr>
        <w:pStyle w:val="3"/>
        <w:spacing w:after="120" w:afterLines="50" w:line="600" w:lineRule="exact"/>
        <w:jc w:val="right"/>
        <w:rPr>
          <w:lang w:eastAsia="zh-CN"/>
        </w:rPr>
      </w:pPr>
      <w:r>
        <w:rPr>
          <w:sz w:val="28"/>
          <w:szCs w:val="28"/>
        </w:rPr>
        <w:t>202</w:t>
      </w:r>
      <w:r>
        <w:rPr>
          <w:sz w:val="28"/>
          <w:szCs w:val="28"/>
          <w:lang w:eastAsia="zh-CN"/>
        </w:rPr>
        <w:t>2</w:t>
      </w:r>
      <w:r>
        <w:rPr>
          <w:sz w:val="28"/>
          <w:szCs w:val="28"/>
        </w:rPr>
        <w:t>年</w:t>
      </w:r>
      <w:r>
        <w:rPr>
          <w:rFonts w:hint="eastAsia"/>
          <w:sz w:val="28"/>
          <w:szCs w:val="28"/>
          <w:lang w:val="en-US" w:eastAsia="zh-CN"/>
        </w:rPr>
        <w:t>8</w:t>
      </w:r>
      <w:r>
        <w:rPr>
          <w:sz w:val="28"/>
          <w:szCs w:val="28"/>
        </w:rPr>
        <w:t>月</w:t>
      </w:r>
      <w:r>
        <w:rPr>
          <w:rFonts w:hint="eastAsia"/>
          <w:sz w:val="28"/>
          <w:szCs w:val="28"/>
          <w:lang w:eastAsia="zh-CN"/>
        </w:rPr>
        <w:t>2</w:t>
      </w:r>
      <w:r>
        <w:rPr>
          <w:rFonts w:hint="eastAsia"/>
          <w:sz w:val="28"/>
          <w:szCs w:val="28"/>
          <w:lang w:val="en-US" w:eastAsia="zh-CN"/>
        </w:rPr>
        <w:t>1</w:t>
      </w:r>
      <w:r>
        <w:rPr>
          <w:rFonts w:hint="eastAsia"/>
          <w:sz w:val="28"/>
          <w:szCs w:val="28"/>
          <w:lang w:eastAsia="zh-CN"/>
        </w:rPr>
        <w:t>日</w:t>
      </w:r>
    </w:p>
    <w:p>
      <w:pPr>
        <w:spacing w:line="600" w:lineRule="exact"/>
      </w:pPr>
    </w:p>
    <w:sectPr>
      <w:footerReference r:id="rId3" w:type="default"/>
      <w:pgSz w:w="11910" w:h="16840"/>
      <w:pgMar w:top="1260" w:right="1180" w:bottom="1180" w:left="1520" w:header="0" w:footer="99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3832860</wp:posOffset>
              </wp:positionH>
              <wp:positionV relativeFrom="page">
                <wp:posOffset>9922510</wp:posOffset>
              </wp:positionV>
              <wp:extent cx="107950" cy="152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8</w:t>
                          </w:r>
                          <w:r>
                            <w:fldChar w:fldCharType="end"/>
                          </w:r>
                        </w:p>
                      </w:txbxContent>
                    </wps:txbx>
                    <wps:bodyPr lIns="0" tIns="0" rIns="0" bIns="0" upright="1"/>
                  </wps:wsp>
                </a:graphicData>
              </a:graphic>
            </wp:anchor>
          </w:drawing>
        </mc:Choice>
        <mc:Fallback>
          <w:pict>
            <v:shape id="_x0000_s1026" o:spid="_x0000_s1026" o:spt="202" type="#_x0000_t202" style="position:absolute;left:0pt;margin-left:301.8pt;margin-top:781.3pt;height:12pt;width:8.5pt;mso-position-horizontal-relative:page;mso-position-vertical-relative:page;z-index:-251657216;mso-width-relative:page;mso-height-relative:page;" filled="f" stroked="f" coordsize="21600,21600" o:gfxdata="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FxWoFtgAAAANAQAADwAAAAAAAAABACAAAAAiAAAAZHJzL2Rvd25yZXYueG1sUEsBAhQA&#10;FAAAAAgAh07iQKw65Ou5AQAAcQMAAA4AAAAAAAAAAQAgAAAAJwEAAGRycy9lMm9Eb2MueG1sUEsF&#10;BgAAAAAGAAYAWQEAAFIFA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93320E"/>
    <w:multiLevelType w:val="multilevel"/>
    <w:tmpl w:val="4A93320E"/>
    <w:lvl w:ilvl="0" w:tentative="0">
      <w:start w:val="1"/>
      <w:numFmt w:val="decimal"/>
      <w:pStyle w:val="13"/>
      <w:suff w:val="space"/>
      <w:lvlText w:val="%1 "/>
      <w:lvlJc w:val="left"/>
      <w:pPr>
        <w:ind w:left="0" w:firstLine="0"/>
      </w:pPr>
      <w:rPr>
        <w:rFonts w:hint="eastAsia" w:eastAsia="黑体"/>
        <w:sz w:val="21"/>
      </w:rPr>
    </w:lvl>
    <w:lvl w:ilvl="1" w:tentative="0">
      <w:start w:val="1"/>
      <w:numFmt w:val="decimal"/>
      <w:pStyle w:val="15"/>
      <w:suff w:val="space"/>
      <w:lvlText w:val="%1.%2 "/>
      <w:lvlJc w:val="left"/>
      <w:pPr>
        <w:ind w:left="0" w:firstLine="0"/>
      </w:pPr>
      <w:rPr>
        <w:rFonts w:hint="eastAsia" w:ascii="黑体" w:hAnsi="黑体" w:eastAsia="黑体"/>
      </w:rPr>
    </w:lvl>
    <w:lvl w:ilvl="2" w:tentative="0">
      <w:start w:val="1"/>
      <w:numFmt w:val="decimal"/>
      <w:pStyle w:val="16"/>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rPr>
    </w:lvl>
    <w:lvl w:ilvl="4" w:tentative="0">
      <w:start w:val="1"/>
      <w:numFmt w:val="decimal"/>
      <w:suff w:val="space"/>
      <w:lvlText w:val="%1.%2.%3.%4.%5 "/>
      <w:lvlJc w:val="left"/>
      <w:pPr>
        <w:ind w:left="0" w:firstLine="0"/>
      </w:pPr>
      <w:rPr>
        <w:rFonts w:hint="eastAsia"/>
      </w:rPr>
    </w:lvl>
    <w:lvl w:ilvl="5" w:tentative="0">
      <w:start w:val="1"/>
      <w:numFmt w:val="decimal"/>
      <w:suff w:val="space"/>
      <w:lvlText w:val="%1.%2.%3.%4.%5.%6 "/>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hMzJjZTk1MzVhMTRkNzExM2Q4NmMwNWJmZjZmODgifQ=="/>
  </w:docVars>
  <w:rsids>
    <w:rsidRoot w:val="0043220D"/>
    <w:rsid w:val="00120911"/>
    <w:rsid w:val="001A48AD"/>
    <w:rsid w:val="001B46B5"/>
    <w:rsid w:val="001C04EE"/>
    <w:rsid w:val="00280A3B"/>
    <w:rsid w:val="00282AEF"/>
    <w:rsid w:val="0034503E"/>
    <w:rsid w:val="0037102E"/>
    <w:rsid w:val="004161B6"/>
    <w:rsid w:val="0043220D"/>
    <w:rsid w:val="00432BC9"/>
    <w:rsid w:val="004D7070"/>
    <w:rsid w:val="004E322C"/>
    <w:rsid w:val="004E5312"/>
    <w:rsid w:val="00633643"/>
    <w:rsid w:val="006A51B2"/>
    <w:rsid w:val="006B6C62"/>
    <w:rsid w:val="00835101"/>
    <w:rsid w:val="0087452B"/>
    <w:rsid w:val="00AE0819"/>
    <w:rsid w:val="00B474D0"/>
    <w:rsid w:val="00BA334C"/>
    <w:rsid w:val="00BB1413"/>
    <w:rsid w:val="00C20543"/>
    <w:rsid w:val="00C55F4F"/>
    <w:rsid w:val="00C66932"/>
    <w:rsid w:val="00D91CF6"/>
    <w:rsid w:val="00E621EF"/>
    <w:rsid w:val="00F165B5"/>
    <w:rsid w:val="00F31C71"/>
    <w:rsid w:val="0F647E88"/>
    <w:rsid w:val="14BC2C9C"/>
    <w:rsid w:val="17D67861"/>
    <w:rsid w:val="19107C77"/>
    <w:rsid w:val="1BF00623"/>
    <w:rsid w:val="1CE97475"/>
    <w:rsid w:val="23B06D99"/>
    <w:rsid w:val="23E03D82"/>
    <w:rsid w:val="25265907"/>
    <w:rsid w:val="30B07CEB"/>
    <w:rsid w:val="31417776"/>
    <w:rsid w:val="33A0212F"/>
    <w:rsid w:val="35774A8D"/>
    <w:rsid w:val="47D04F43"/>
    <w:rsid w:val="4CFB3030"/>
    <w:rsid w:val="4D59762E"/>
    <w:rsid w:val="53BF4D0A"/>
    <w:rsid w:val="55F20F7C"/>
    <w:rsid w:val="561247C1"/>
    <w:rsid w:val="5B0854C9"/>
    <w:rsid w:val="5E625014"/>
    <w:rsid w:val="624E28FB"/>
    <w:rsid w:val="65544A6C"/>
    <w:rsid w:val="6AA7453A"/>
    <w:rsid w:val="6D337A7C"/>
    <w:rsid w:val="74356886"/>
    <w:rsid w:val="7C21278A"/>
    <w:rsid w:val="7CB151A9"/>
    <w:rsid w:val="7EFB3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Body Text"/>
    <w:basedOn w:val="1"/>
    <w:link w:val="23"/>
    <w:qFormat/>
    <w:uiPriority w:val="1"/>
    <w:rPr>
      <w:sz w:val="24"/>
      <w:szCs w:val="24"/>
    </w:rPr>
  </w:style>
  <w:style w:type="paragraph" w:styleId="4">
    <w:name w:val="footer"/>
    <w:basedOn w:val="1"/>
    <w:link w:val="22"/>
    <w:uiPriority w:val="0"/>
    <w:pPr>
      <w:tabs>
        <w:tab w:val="center" w:pos="4153"/>
        <w:tab w:val="right" w:pos="8306"/>
      </w:tabs>
      <w:snapToGrid w:val="0"/>
    </w:pPr>
    <w:rPr>
      <w:sz w:val="18"/>
      <w:szCs w:val="18"/>
    </w:rPr>
  </w:style>
  <w:style w:type="paragraph" w:styleId="5">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标题 11"/>
    <w:basedOn w:val="1"/>
    <w:qFormat/>
    <w:uiPriority w:val="1"/>
    <w:pPr>
      <w:ind w:left="116" w:right="101"/>
      <w:jc w:val="center"/>
      <w:outlineLvl w:val="1"/>
    </w:pPr>
    <w:rPr>
      <w:sz w:val="52"/>
      <w:szCs w:val="52"/>
    </w:rPr>
  </w:style>
  <w:style w:type="paragraph" w:customStyle="1" w:styleId="9">
    <w:name w:val="标题 21"/>
    <w:basedOn w:val="1"/>
    <w:qFormat/>
    <w:uiPriority w:val="1"/>
    <w:pPr>
      <w:ind w:left="100"/>
      <w:jc w:val="center"/>
      <w:outlineLvl w:val="2"/>
    </w:pPr>
    <w:rPr>
      <w:sz w:val="36"/>
      <w:szCs w:val="36"/>
    </w:rPr>
  </w:style>
  <w:style w:type="paragraph" w:customStyle="1" w:styleId="10">
    <w:name w:val="标题 31"/>
    <w:basedOn w:val="1"/>
    <w:qFormat/>
    <w:uiPriority w:val="1"/>
    <w:pPr>
      <w:ind w:left="100"/>
      <w:outlineLvl w:val="3"/>
    </w:pPr>
    <w:rPr>
      <w:rFonts w:ascii="Microsoft JhengHei" w:hAnsi="Microsoft JhengHei" w:eastAsia="Microsoft JhengHei" w:cs="Microsoft JhengHei"/>
      <w:b/>
      <w:bCs/>
      <w:sz w:val="24"/>
      <w:szCs w:val="24"/>
    </w:rPr>
  </w:style>
  <w:style w:type="paragraph" w:customStyle="1" w:styleId="11">
    <w:name w:val="Table Paragraph"/>
    <w:basedOn w:val="1"/>
    <w:qFormat/>
    <w:uiPriority w:val="1"/>
  </w:style>
  <w:style w:type="paragraph" w:customStyle="1" w:styleId="12">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3">
    <w:name w:val="章标题"/>
    <w:next w:val="12"/>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4">
    <w:name w:val="一级无"/>
    <w:basedOn w:val="15"/>
    <w:qFormat/>
    <w:uiPriority w:val="0"/>
    <w:pPr>
      <w:spacing w:before="0" w:beforeLines="0" w:after="0" w:afterLines="0"/>
    </w:pPr>
    <w:rPr>
      <w:rFonts w:ascii="宋体" w:eastAsia="宋体"/>
    </w:rPr>
  </w:style>
  <w:style w:type="paragraph" w:customStyle="1" w:styleId="15">
    <w:name w:val="一级条标题"/>
    <w:next w:val="12"/>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6">
    <w:name w:val="二级条标题"/>
    <w:basedOn w:val="15"/>
    <w:next w:val="12"/>
    <w:qFormat/>
    <w:uiPriority w:val="0"/>
    <w:pPr>
      <w:numPr>
        <w:ilvl w:val="2"/>
      </w:numPr>
      <w:outlineLvl w:val="3"/>
    </w:pPr>
  </w:style>
  <w:style w:type="paragraph" w:customStyle="1" w:styleId="17">
    <w:name w:val="二级无"/>
    <w:basedOn w:val="16"/>
    <w:qFormat/>
    <w:uiPriority w:val="0"/>
    <w:pPr>
      <w:spacing w:before="0" w:beforeLines="0" w:after="0" w:afterLines="0"/>
    </w:pPr>
    <w:rPr>
      <w:rFonts w:ascii="宋体" w:eastAsia="宋体"/>
    </w:rPr>
  </w:style>
  <w:style w:type="paragraph" w:customStyle="1" w:styleId="1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20">
    <w:name w:val="段 Char"/>
    <w:link w:val="12"/>
    <w:qFormat/>
    <w:uiPriority w:val="0"/>
    <w:rPr>
      <w:rFonts w:ascii="宋体"/>
      <w:sz w:val="21"/>
    </w:rPr>
  </w:style>
  <w:style w:type="character" w:customStyle="1" w:styleId="21">
    <w:name w:val="页眉 字符"/>
    <w:basedOn w:val="7"/>
    <w:link w:val="5"/>
    <w:qFormat/>
    <w:uiPriority w:val="0"/>
    <w:rPr>
      <w:rFonts w:ascii="宋体" w:hAnsi="宋体" w:cs="宋体"/>
      <w:sz w:val="18"/>
      <w:szCs w:val="18"/>
      <w:lang w:eastAsia="en-US"/>
    </w:rPr>
  </w:style>
  <w:style w:type="character" w:customStyle="1" w:styleId="22">
    <w:name w:val="页脚 字符"/>
    <w:basedOn w:val="7"/>
    <w:link w:val="4"/>
    <w:uiPriority w:val="0"/>
    <w:rPr>
      <w:rFonts w:ascii="宋体" w:hAnsi="宋体" w:cs="宋体"/>
      <w:sz w:val="18"/>
      <w:szCs w:val="18"/>
      <w:lang w:eastAsia="en-US"/>
    </w:rPr>
  </w:style>
  <w:style w:type="character" w:customStyle="1" w:styleId="23">
    <w:name w:val="正文文本 字符"/>
    <w:basedOn w:val="7"/>
    <w:link w:val="3"/>
    <w:uiPriority w:val="1"/>
    <w:rPr>
      <w:rFonts w:ascii="宋体" w:hAnsi="宋体" w:cs="宋体"/>
      <w:sz w:val="24"/>
      <w:szCs w:val="24"/>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3688</Words>
  <Characters>3738</Characters>
  <Lines>28</Lines>
  <Paragraphs>8</Paragraphs>
  <TotalTime>6</TotalTime>
  <ScaleCrop>false</ScaleCrop>
  <LinksUpToDate>false</LinksUpToDate>
  <CharactersWithSpaces>3751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董</dc:creator>
  <cp:lastModifiedBy>137867169</cp:lastModifiedBy>
  <dcterms:modified xsi:type="dcterms:W3CDTF">2022-08-23T07:57:35Z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F99CBDDCC4F044EE92F381EA120879D6</vt:lpwstr>
  </property>
</Properties>
</file>