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152" w:rsidRDefault="007C4980">
      <w:pPr>
        <w:spacing w:line="360" w:lineRule="auto"/>
        <w:jc w:val="center"/>
        <w:rPr>
          <w:rFonts w:ascii="黑体" w:eastAsia="黑体" w:hAnsi="黑体" w:cs="黑体"/>
          <w:sz w:val="32"/>
          <w:szCs w:val="36"/>
        </w:rPr>
      </w:pPr>
      <w:r>
        <w:rPr>
          <w:rFonts w:ascii="黑体" w:eastAsia="黑体" w:hAnsi="黑体" w:cs="黑体" w:hint="eastAsia"/>
          <w:sz w:val="32"/>
          <w:szCs w:val="36"/>
        </w:rPr>
        <w:t>《材料数据区块链</w:t>
      </w:r>
      <w:r>
        <w:rPr>
          <w:rFonts w:ascii="黑体" w:eastAsia="黑体" w:hAnsi="黑体" w:cs="黑体" w:hint="eastAsia"/>
          <w:sz w:val="32"/>
          <w:szCs w:val="36"/>
        </w:rPr>
        <w:t xml:space="preserve"> </w:t>
      </w:r>
      <w:r>
        <w:rPr>
          <w:rFonts w:ascii="黑体" w:eastAsia="黑体" w:hAnsi="黑体" w:cs="黑体" w:hint="eastAsia"/>
          <w:sz w:val="32"/>
          <w:szCs w:val="36"/>
        </w:rPr>
        <w:t>通则》</w:t>
      </w:r>
    </w:p>
    <w:p w:rsidR="00E52152" w:rsidRDefault="007C4980">
      <w:pPr>
        <w:spacing w:line="360" w:lineRule="auto"/>
        <w:jc w:val="center"/>
        <w:rPr>
          <w:rFonts w:ascii="黑体" w:eastAsia="黑体" w:hAnsi="黑体" w:cs="黑体"/>
          <w:sz w:val="32"/>
          <w:szCs w:val="36"/>
        </w:rPr>
      </w:pPr>
      <w:r>
        <w:rPr>
          <w:rFonts w:ascii="黑体" w:eastAsia="黑体" w:hAnsi="黑体" w:cs="黑体" w:hint="eastAsia"/>
          <w:sz w:val="32"/>
          <w:szCs w:val="36"/>
        </w:rPr>
        <w:t>标准编制说明</w:t>
      </w:r>
    </w:p>
    <w:p w:rsidR="00E52152" w:rsidRDefault="007C4980">
      <w:pPr>
        <w:pStyle w:val="2"/>
        <w:numPr>
          <w:ilvl w:val="0"/>
          <w:numId w:val="1"/>
        </w:numPr>
        <w:rPr>
          <w:b w:val="0"/>
          <w:bCs/>
        </w:rPr>
      </w:pPr>
      <w:r>
        <w:rPr>
          <w:rFonts w:hint="eastAsia"/>
          <w:b w:val="0"/>
          <w:bCs/>
        </w:rPr>
        <w:t>工作简况</w:t>
      </w:r>
    </w:p>
    <w:p w:rsidR="00E52152" w:rsidRDefault="007C4980">
      <w:pPr>
        <w:pStyle w:val="3"/>
        <w:rPr>
          <w:b w:val="0"/>
          <w:bCs/>
          <w:sz w:val="24"/>
        </w:rPr>
      </w:pPr>
      <w:r>
        <w:rPr>
          <w:rFonts w:hint="eastAsia"/>
          <w:b w:val="0"/>
          <w:bCs/>
          <w:sz w:val="24"/>
        </w:rPr>
        <w:t xml:space="preserve">1 </w:t>
      </w:r>
      <w:r>
        <w:rPr>
          <w:rFonts w:hint="eastAsia"/>
          <w:b w:val="0"/>
          <w:bCs/>
          <w:sz w:val="24"/>
        </w:rPr>
        <w:t>任务来源</w:t>
      </w:r>
    </w:p>
    <w:p w:rsidR="00E52152" w:rsidRDefault="006273D9" w:rsidP="006273D9">
      <w:pPr>
        <w:spacing w:line="360" w:lineRule="auto"/>
        <w:ind w:firstLineChars="200" w:firstLine="480"/>
        <w:rPr>
          <w:rFonts w:ascii="宋体" w:eastAsia="宋体" w:hAnsi="宋体" w:cs="宋体"/>
          <w:sz w:val="24"/>
        </w:rPr>
      </w:pPr>
      <w:r w:rsidRPr="006273D9">
        <w:rPr>
          <w:rFonts w:ascii="宋体" w:eastAsia="宋体" w:hAnsi="宋体" w:cs="宋体" w:hint="eastAsia"/>
          <w:sz w:val="24"/>
        </w:rPr>
        <w:t>按照中国金属学会要求，依据《中国金属学会团体标准管理办法》</w:t>
      </w:r>
      <w:r w:rsidR="007C4980">
        <w:rPr>
          <w:rFonts w:ascii="宋体" w:eastAsia="宋体" w:hAnsi="宋体" w:cs="宋体" w:hint="eastAsia"/>
          <w:sz w:val="24"/>
        </w:rPr>
        <w:t>，《</w:t>
      </w:r>
      <w:r w:rsidR="007C4980">
        <w:rPr>
          <w:rFonts w:ascii="宋体" w:eastAsia="宋体" w:hAnsi="宋体" w:cs="宋体" w:hint="eastAsia"/>
          <w:sz w:val="24"/>
        </w:rPr>
        <w:t>材料数据区块链</w:t>
      </w:r>
      <w:r w:rsidR="007C4980">
        <w:rPr>
          <w:rFonts w:ascii="宋体" w:eastAsia="宋体" w:hAnsi="宋体" w:cs="宋体" w:hint="eastAsia"/>
          <w:sz w:val="24"/>
        </w:rPr>
        <w:t xml:space="preserve"> </w:t>
      </w:r>
      <w:r w:rsidR="007C4980">
        <w:rPr>
          <w:rFonts w:ascii="宋体" w:eastAsia="宋体" w:hAnsi="宋体" w:cs="宋体" w:hint="eastAsia"/>
          <w:sz w:val="24"/>
        </w:rPr>
        <w:t>通则</w:t>
      </w:r>
      <w:r w:rsidR="007C4980">
        <w:rPr>
          <w:rFonts w:ascii="宋体" w:eastAsia="宋体" w:hAnsi="宋体" w:cs="宋体" w:hint="eastAsia"/>
          <w:sz w:val="24"/>
        </w:rPr>
        <w:t>》列入团体标准制定计划。该标准由中国钢</w:t>
      </w:r>
      <w:proofErr w:type="gramStart"/>
      <w:r w:rsidR="007C4980">
        <w:rPr>
          <w:rFonts w:ascii="宋体" w:eastAsia="宋体" w:hAnsi="宋体" w:cs="宋体" w:hint="eastAsia"/>
          <w:sz w:val="24"/>
        </w:rPr>
        <w:t>研</w:t>
      </w:r>
      <w:proofErr w:type="gramEnd"/>
      <w:r w:rsidR="007C4980">
        <w:rPr>
          <w:rFonts w:ascii="宋体" w:eastAsia="宋体" w:hAnsi="宋体" w:cs="宋体" w:hint="eastAsia"/>
          <w:sz w:val="24"/>
        </w:rPr>
        <w:t>科技集团有限公司数字化研发中心、北京钢研新材科技有限公司、中国计算机</w:t>
      </w:r>
      <w:proofErr w:type="gramStart"/>
      <w:r w:rsidR="007C4980">
        <w:rPr>
          <w:rFonts w:ascii="宋体" w:eastAsia="宋体" w:hAnsi="宋体" w:cs="宋体" w:hint="eastAsia"/>
          <w:sz w:val="24"/>
        </w:rPr>
        <w:t>学会区</w:t>
      </w:r>
      <w:proofErr w:type="gramEnd"/>
      <w:r w:rsidR="007C4980">
        <w:rPr>
          <w:rFonts w:ascii="宋体" w:eastAsia="宋体" w:hAnsi="宋体" w:cs="宋体" w:hint="eastAsia"/>
          <w:sz w:val="24"/>
        </w:rPr>
        <w:t>块链专委会、福建福链科技有限公司、中关村材料试验技术联盟、北京科技大学、西安热工研究院有限公司、北京邮电大学、中国科学院计算技术研究所所等负责起草，由中国金属学会归口。</w:t>
      </w:r>
    </w:p>
    <w:p w:rsidR="00E52152" w:rsidRDefault="007C4980">
      <w:pPr>
        <w:pStyle w:val="3"/>
        <w:rPr>
          <w:b w:val="0"/>
          <w:bCs/>
          <w:sz w:val="24"/>
        </w:rPr>
      </w:pPr>
      <w:r>
        <w:rPr>
          <w:rFonts w:hint="eastAsia"/>
          <w:b w:val="0"/>
          <w:bCs/>
          <w:sz w:val="24"/>
        </w:rPr>
        <w:t xml:space="preserve">2 </w:t>
      </w:r>
      <w:r>
        <w:rPr>
          <w:rFonts w:hint="eastAsia"/>
          <w:b w:val="0"/>
          <w:bCs/>
          <w:sz w:val="24"/>
        </w:rPr>
        <w:t>主要工作过程</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为顺利完成《材料数据区块链</w:t>
      </w:r>
      <w:r>
        <w:rPr>
          <w:rFonts w:ascii="宋体" w:eastAsia="宋体" w:hAnsi="宋体" w:cs="宋体" w:hint="eastAsia"/>
          <w:sz w:val="24"/>
        </w:rPr>
        <w:t xml:space="preserve"> </w:t>
      </w:r>
      <w:r>
        <w:rPr>
          <w:rFonts w:ascii="宋体" w:eastAsia="宋体" w:hAnsi="宋体" w:cs="宋体" w:hint="eastAsia"/>
          <w:sz w:val="24"/>
        </w:rPr>
        <w:t>通则》的编制，特成立标准编制工作组，由中国钢</w:t>
      </w:r>
      <w:proofErr w:type="gramStart"/>
      <w:r>
        <w:rPr>
          <w:rFonts w:ascii="宋体" w:eastAsia="宋体" w:hAnsi="宋体" w:cs="宋体" w:hint="eastAsia"/>
          <w:sz w:val="24"/>
        </w:rPr>
        <w:t>研</w:t>
      </w:r>
      <w:proofErr w:type="gramEnd"/>
      <w:r>
        <w:rPr>
          <w:rFonts w:ascii="宋体" w:eastAsia="宋体" w:hAnsi="宋体" w:cs="宋体" w:hint="eastAsia"/>
          <w:sz w:val="24"/>
        </w:rPr>
        <w:t>科技集团有限公司任组长单位，负责主要起草工作；明确成员分工和工作时间进度等。对材料研发数据孤岛现象严重、材料行业数字化转型应用场景缺乏等问题进行了收集整理，并调研了多种解决方法，从而确定了利用区块链、模式识别等技术解决材料数据的发现及安全共享问题。目前标准正在起草阶段。</w:t>
      </w:r>
    </w:p>
    <w:p w:rsidR="00E52152" w:rsidRDefault="007C4980">
      <w:pPr>
        <w:pStyle w:val="3"/>
        <w:rPr>
          <w:b w:val="0"/>
          <w:bCs/>
          <w:sz w:val="24"/>
        </w:rPr>
      </w:pPr>
      <w:r>
        <w:rPr>
          <w:rFonts w:hint="eastAsia"/>
          <w:b w:val="0"/>
          <w:bCs/>
          <w:sz w:val="24"/>
        </w:rPr>
        <w:t xml:space="preserve">3 </w:t>
      </w:r>
      <w:r>
        <w:rPr>
          <w:rFonts w:hint="eastAsia"/>
          <w:b w:val="0"/>
          <w:bCs/>
          <w:sz w:val="24"/>
        </w:rPr>
        <w:t>主要起草人单位及起草人所</w:t>
      </w:r>
      <w:proofErr w:type="gramStart"/>
      <w:r>
        <w:rPr>
          <w:rFonts w:hint="eastAsia"/>
          <w:b w:val="0"/>
          <w:bCs/>
          <w:sz w:val="24"/>
        </w:rPr>
        <w:t>作工</w:t>
      </w:r>
      <w:proofErr w:type="gramEnd"/>
      <w:r>
        <w:rPr>
          <w:rFonts w:hint="eastAsia"/>
          <w:b w:val="0"/>
          <w:bCs/>
          <w:sz w:val="24"/>
        </w:rPr>
        <w:t>作</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本标准由</w:t>
      </w:r>
      <w:r>
        <w:rPr>
          <w:rFonts w:ascii="宋体" w:eastAsia="宋体" w:hAnsi="宋体" w:cs="宋体" w:hint="eastAsia"/>
          <w:sz w:val="24"/>
        </w:rPr>
        <w:t>中国钢</w:t>
      </w:r>
      <w:proofErr w:type="gramStart"/>
      <w:r>
        <w:rPr>
          <w:rFonts w:ascii="宋体" w:eastAsia="宋体" w:hAnsi="宋体" w:cs="宋体" w:hint="eastAsia"/>
          <w:sz w:val="24"/>
        </w:rPr>
        <w:t>研</w:t>
      </w:r>
      <w:proofErr w:type="gramEnd"/>
      <w:r>
        <w:rPr>
          <w:rFonts w:ascii="宋体" w:eastAsia="宋体" w:hAnsi="宋体" w:cs="宋体" w:hint="eastAsia"/>
          <w:sz w:val="24"/>
        </w:rPr>
        <w:t>科技集团有限公司数字化研发中心、北京钢研新材科技有限公司、中国计算机</w:t>
      </w:r>
      <w:proofErr w:type="gramStart"/>
      <w:r>
        <w:rPr>
          <w:rFonts w:ascii="宋体" w:eastAsia="宋体" w:hAnsi="宋体" w:cs="宋体" w:hint="eastAsia"/>
          <w:sz w:val="24"/>
        </w:rPr>
        <w:t>学会区</w:t>
      </w:r>
      <w:proofErr w:type="gramEnd"/>
      <w:r>
        <w:rPr>
          <w:rFonts w:ascii="宋体" w:eastAsia="宋体" w:hAnsi="宋体" w:cs="宋体" w:hint="eastAsia"/>
          <w:sz w:val="24"/>
        </w:rPr>
        <w:t>块链专委会、福建福链科技有限公司、中关村材料试验技术联盟、北京科技大</w:t>
      </w:r>
      <w:r>
        <w:rPr>
          <w:rFonts w:ascii="宋体" w:eastAsia="宋体" w:hAnsi="宋体" w:cs="宋体" w:hint="eastAsia"/>
          <w:sz w:val="24"/>
        </w:rPr>
        <w:t>学、西安热工研究院有限公司、北京邮电大学、中国科学院计算技术研究所共同起草。</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由中国钢</w:t>
      </w:r>
      <w:proofErr w:type="gramStart"/>
      <w:r>
        <w:rPr>
          <w:rFonts w:ascii="宋体" w:eastAsia="宋体" w:hAnsi="宋体" w:cs="宋体" w:hint="eastAsia"/>
          <w:sz w:val="24"/>
        </w:rPr>
        <w:t>研</w:t>
      </w:r>
      <w:proofErr w:type="gramEnd"/>
      <w:r>
        <w:rPr>
          <w:rFonts w:ascii="宋体" w:eastAsia="宋体" w:hAnsi="宋体" w:cs="宋体" w:hint="eastAsia"/>
          <w:sz w:val="24"/>
        </w:rPr>
        <w:t>科技集团有限公司和北京钢研新材科技有限公司具体执笔起草；中国计算机</w:t>
      </w:r>
      <w:proofErr w:type="gramStart"/>
      <w:r>
        <w:rPr>
          <w:rFonts w:ascii="宋体" w:eastAsia="宋体" w:hAnsi="宋体" w:cs="宋体" w:hint="eastAsia"/>
          <w:sz w:val="24"/>
        </w:rPr>
        <w:t>学会区</w:t>
      </w:r>
      <w:proofErr w:type="gramEnd"/>
      <w:r>
        <w:rPr>
          <w:rFonts w:ascii="宋体" w:eastAsia="宋体" w:hAnsi="宋体" w:cs="宋体" w:hint="eastAsia"/>
          <w:sz w:val="24"/>
        </w:rPr>
        <w:t>块链专委会负责区块链底层部署、技术指导等工作；鞍钢集团北京研究院有限公司、中关村材料试验技术联盟、</w:t>
      </w:r>
      <w:r>
        <w:rPr>
          <w:rFonts w:ascii="宋体" w:eastAsia="宋体" w:hAnsi="宋体" w:cs="宋体" w:hint="eastAsia"/>
          <w:sz w:val="24"/>
        </w:rPr>
        <w:t>西安热工研究院有限公司</w:t>
      </w:r>
      <w:r>
        <w:rPr>
          <w:rFonts w:ascii="宋体" w:eastAsia="宋体" w:hAnsi="宋体" w:cs="宋体" w:hint="eastAsia"/>
          <w:sz w:val="24"/>
        </w:rPr>
        <w:t>提供数据关联环境及验证条件</w:t>
      </w:r>
      <w:r>
        <w:rPr>
          <w:rFonts w:ascii="宋体" w:eastAsia="宋体" w:hAnsi="宋体" w:cs="宋体" w:hint="eastAsia"/>
          <w:sz w:val="24"/>
        </w:rPr>
        <w:t>；北京钢研新材科技有限公司负责数据关联算法设计及应用场景分析；中国钢</w:t>
      </w:r>
      <w:proofErr w:type="gramStart"/>
      <w:r>
        <w:rPr>
          <w:rFonts w:ascii="宋体" w:eastAsia="宋体" w:hAnsi="宋体" w:cs="宋体" w:hint="eastAsia"/>
          <w:sz w:val="24"/>
        </w:rPr>
        <w:t>研</w:t>
      </w:r>
      <w:proofErr w:type="gramEnd"/>
      <w:r>
        <w:rPr>
          <w:rFonts w:ascii="宋体" w:eastAsia="宋体" w:hAnsi="宋体" w:cs="宋体" w:hint="eastAsia"/>
          <w:sz w:val="24"/>
        </w:rPr>
        <w:t>科技集团有限公司、北京钢研新材科技有限公司等单位负责对稿件进行汇总、整理与审核等。</w:t>
      </w:r>
    </w:p>
    <w:p w:rsidR="00E52152" w:rsidRDefault="00E52152"/>
    <w:tbl>
      <w:tblPr>
        <w:tblStyle w:val="a4"/>
        <w:tblW w:w="0" w:type="auto"/>
        <w:tblLook w:val="04A0"/>
      </w:tblPr>
      <w:tblGrid>
        <w:gridCol w:w="3700"/>
        <w:gridCol w:w="4624"/>
      </w:tblGrid>
      <w:tr w:rsidR="00E52152">
        <w:tc>
          <w:tcPr>
            <w:tcW w:w="3700" w:type="dxa"/>
            <w:vAlign w:val="center"/>
          </w:tcPr>
          <w:p w:rsidR="00E52152" w:rsidRDefault="007C4980">
            <w:pPr>
              <w:spacing w:line="360" w:lineRule="auto"/>
              <w:jc w:val="center"/>
              <w:rPr>
                <w:rFonts w:ascii="宋体" w:eastAsia="宋体" w:hAnsi="宋体" w:cs="宋体"/>
                <w:sz w:val="24"/>
              </w:rPr>
            </w:pPr>
            <w:r>
              <w:rPr>
                <w:rFonts w:ascii="宋体" w:eastAsia="宋体" w:hAnsi="宋体" w:cs="宋体" w:hint="eastAsia"/>
                <w:sz w:val="24"/>
              </w:rPr>
              <w:lastRenderedPageBreak/>
              <w:t>主要参加单位</w:t>
            </w:r>
          </w:p>
        </w:tc>
        <w:tc>
          <w:tcPr>
            <w:tcW w:w="4624" w:type="dxa"/>
            <w:vAlign w:val="center"/>
          </w:tcPr>
          <w:p w:rsidR="00E52152" w:rsidRDefault="007C4980">
            <w:pPr>
              <w:spacing w:line="360" w:lineRule="auto"/>
              <w:jc w:val="center"/>
              <w:rPr>
                <w:rFonts w:ascii="宋体" w:eastAsia="宋体" w:hAnsi="宋体" w:cs="宋体"/>
                <w:sz w:val="24"/>
              </w:rPr>
            </w:pPr>
            <w:r>
              <w:rPr>
                <w:rFonts w:ascii="宋体" w:eastAsia="宋体" w:hAnsi="宋体" w:cs="宋体" w:hint="eastAsia"/>
                <w:sz w:val="24"/>
              </w:rPr>
              <w:t>参编成员</w:t>
            </w:r>
          </w:p>
        </w:tc>
      </w:tr>
      <w:tr w:rsidR="00E52152">
        <w:tc>
          <w:tcPr>
            <w:tcW w:w="3700"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中国钢</w:t>
            </w:r>
            <w:proofErr w:type="gramStart"/>
            <w:r>
              <w:rPr>
                <w:rFonts w:ascii="宋体" w:eastAsia="宋体" w:hAnsi="宋体" w:cs="宋体" w:hint="eastAsia"/>
                <w:sz w:val="24"/>
              </w:rPr>
              <w:t>研</w:t>
            </w:r>
            <w:proofErr w:type="gramEnd"/>
            <w:r>
              <w:rPr>
                <w:rFonts w:ascii="宋体" w:eastAsia="宋体" w:hAnsi="宋体" w:cs="宋体" w:hint="eastAsia"/>
                <w:sz w:val="24"/>
              </w:rPr>
              <w:t>科技集团有限公司</w:t>
            </w:r>
          </w:p>
        </w:tc>
        <w:tc>
          <w:tcPr>
            <w:tcW w:w="4624"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苏航、侯雅青、刘和平</w:t>
            </w:r>
          </w:p>
        </w:tc>
      </w:tr>
      <w:tr w:rsidR="00E52152">
        <w:tc>
          <w:tcPr>
            <w:tcW w:w="3700"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北京钢研新材科技有限公司</w:t>
            </w:r>
          </w:p>
        </w:tc>
        <w:tc>
          <w:tcPr>
            <w:tcW w:w="4624"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李灏、王畅畅、段琳娜、杨骄一</w:t>
            </w:r>
          </w:p>
        </w:tc>
      </w:tr>
      <w:tr w:rsidR="00E52152">
        <w:tc>
          <w:tcPr>
            <w:tcW w:w="3700"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中国计算机</w:t>
            </w:r>
            <w:proofErr w:type="gramStart"/>
            <w:r>
              <w:rPr>
                <w:rFonts w:ascii="宋体" w:eastAsia="宋体" w:hAnsi="宋体" w:cs="宋体" w:hint="eastAsia"/>
                <w:sz w:val="24"/>
              </w:rPr>
              <w:t>学会区</w:t>
            </w:r>
            <w:proofErr w:type="gramEnd"/>
            <w:r>
              <w:rPr>
                <w:rFonts w:ascii="宋体" w:eastAsia="宋体" w:hAnsi="宋体" w:cs="宋体" w:hint="eastAsia"/>
                <w:sz w:val="24"/>
              </w:rPr>
              <w:t>块链专委会</w:t>
            </w:r>
          </w:p>
        </w:tc>
        <w:tc>
          <w:tcPr>
            <w:tcW w:w="4624" w:type="dxa"/>
            <w:vAlign w:val="center"/>
          </w:tcPr>
          <w:p w:rsidR="00E52152" w:rsidRDefault="007C4980">
            <w:pPr>
              <w:spacing w:line="360" w:lineRule="auto"/>
              <w:rPr>
                <w:rFonts w:ascii="宋体" w:eastAsia="宋体" w:hAnsi="宋体" w:cs="宋体"/>
                <w:sz w:val="24"/>
              </w:rPr>
            </w:pPr>
            <w:proofErr w:type="gramStart"/>
            <w:r>
              <w:rPr>
                <w:rFonts w:ascii="宋体" w:eastAsia="宋体" w:hAnsi="宋体" w:cs="宋体" w:hint="eastAsia"/>
                <w:sz w:val="24"/>
              </w:rPr>
              <w:t>斯雪明</w:t>
            </w:r>
            <w:proofErr w:type="gramEnd"/>
          </w:p>
        </w:tc>
      </w:tr>
      <w:tr w:rsidR="00E52152">
        <w:tc>
          <w:tcPr>
            <w:tcW w:w="3700"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福建福链科技有限公司</w:t>
            </w:r>
          </w:p>
        </w:tc>
        <w:tc>
          <w:tcPr>
            <w:tcW w:w="4624"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谭焕明、朱永亮</w:t>
            </w:r>
          </w:p>
        </w:tc>
      </w:tr>
      <w:tr w:rsidR="00E52152">
        <w:tc>
          <w:tcPr>
            <w:tcW w:w="3700"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中关村材料试验技术联盟</w:t>
            </w:r>
          </w:p>
        </w:tc>
        <w:tc>
          <w:tcPr>
            <w:tcW w:w="4624" w:type="dxa"/>
            <w:vAlign w:val="center"/>
          </w:tcPr>
          <w:p w:rsidR="00E52152" w:rsidRDefault="007C4980">
            <w:pPr>
              <w:spacing w:line="360" w:lineRule="auto"/>
              <w:rPr>
                <w:rFonts w:ascii="宋体" w:eastAsia="宋体" w:hAnsi="宋体" w:cs="宋体"/>
                <w:sz w:val="24"/>
              </w:rPr>
            </w:pPr>
            <w:proofErr w:type="gramStart"/>
            <w:r>
              <w:rPr>
                <w:rFonts w:ascii="宋体" w:eastAsia="宋体" w:hAnsi="宋体" w:cs="宋体" w:hint="eastAsia"/>
                <w:sz w:val="24"/>
              </w:rPr>
              <w:t>王蓬</w:t>
            </w:r>
            <w:proofErr w:type="gramEnd"/>
          </w:p>
        </w:tc>
      </w:tr>
      <w:tr w:rsidR="00E52152">
        <w:tc>
          <w:tcPr>
            <w:tcW w:w="3700"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北京科技大学</w:t>
            </w:r>
          </w:p>
        </w:tc>
        <w:tc>
          <w:tcPr>
            <w:tcW w:w="4624"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张雷</w:t>
            </w:r>
          </w:p>
        </w:tc>
      </w:tr>
      <w:tr w:rsidR="00E52152">
        <w:tc>
          <w:tcPr>
            <w:tcW w:w="3700"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西安热工研究院有限公司</w:t>
            </w:r>
          </w:p>
        </w:tc>
        <w:tc>
          <w:tcPr>
            <w:tcW w:w="4624"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闫爱军</w:t>
            </w:r>
          </w:p>
        </w:tc>
      </w:tr>
      <w:tr w:rsidR="00E52152">
        <w:tc>
          <w:tcPr>
            <w:tcW w:w="3700"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北京邮电大学</w:t>
            </w:r>
          </w:p>
        </w:tc>
        <w:tc>
          <w:tcPr>
            <w:tcW w:w="4624" w:type="dxa"/>
            <w:vAlign w:val="center"/>
          </w:tcPr>
          <w:p w:rsidR="00E52152" w:rsidRDefault="007C4980">
            <w:pPr>
              <w:spacing w:line="360" w:lineRule="auto"/>
              <w:rPr>
                <w:rFonts w:ascii="宋体" w:eastAsia="宋体" w:hAnsi="宋体" w:cs="宋体"/>
                <w:sz w:val="24"/>
              </w:rPr>
            </w:pPr>
            <w:proofErr w:type="gramStart"/>
            <w:r>
              <w:rPr>
                <w:rFonts w:ascii="宋体" w:eastAsia="宋体" w:hAnsi="宋体" w:cs="宋体" w:hint="eastAsia"/>
                <w:sz w:val="24"/>
              </w:rPr>
              <w:t>亓</w:t>
            </w:r>
            <w:proofErr w:type="gramEnd"/>
            <w:r>
              <w:rPr>
                <w:rFonts w:ascii="宋体" w:eastAsia="宋体" w:hAnsi="宋体" w:cs="宋体" w:hint="eastAsia"/>
                <w:sz w:val="24"/>
              </w:rPr>
              <w:t>峰</w:t>
            </w:r>
          </w:p>
        </w:tc>
      </w:tr>
      <w:tr w:rsidR="00E52152">
        <w:tc>
          <w:tcPr>
            <w:tcW w:w="3700"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中国科学院计算技术研究所</w:t>
            </w:r>
          </w:p>
        </w:tc>
        <w:tc>
          <w:tcPr>
            <w:tcW w:w="4624" w:type="dxa"/>
            <w:vAlign w:val="center"/>
          </w:tcPr>
          <w:p w:rsidR="00E52152" w:rsidRDefault="007C4980">
            <w:pPr>
              <w:spacing w:line="360" w:lineRule="auto"/>
              <w:rPr>
                <w:rFonts w:ascii="宋体" w:eastAsia="宋体" w:hAnsi="宋体" w:cs="宋体"/>
                <w:sz w:val="24"/>
              </w:rPr>
            </w:pPr>
            <w:r>
              <w:rPr>
                <w:rFonts w:ascii="宋体" w:eastAsia="宋体" w:hAnsi="宋体" w:cs="宋体" w:hint="eastAsia"/>
                <w:sz w:val="24"/>
              </w:rPr>
              <w:t>孙毅</w:t>
            </w:r>
          </w:p>
        </w:tc>
      </w:tr>
    </w:tbl>
    <w:p w:rsidR="00E52152" w:rsidRDefault="00E52152">
      <w:pPr>
        <w:rPr>
          <w:rFonts w:ascii="宋体" w:eastAsia="宋体" w:hAnsi="宋体" w:cs="宋体"/>
          <w:sz w:val="20"/>
          <w:szCs w:val="20"/>
        </w:rPr>
      </w:pPr>
    </w:p>
    <w:p w:rsidR="00E52152" w:rsidRDefault="007C4980">
      <w:pPr>
        <w:pStyle w:val="2"/>
        <w:numPr>
          <w:ilvl w:val="0"/>
          <w:numId w:val="1"/>
        </w:numPr>
        <w:rPr>
          <w:b w:val="0"/>
          <w:bCs/>
        </w:rPr>
      </w:pPr>
      <w:r>
        <w:rPr>
          <w:rFonts w:hint="eastAsia"/>
          <w:b w:val="0"/>
          <w:bCs/>
        </w:rPr>
        <w:t>标准编制原则和主要内容</w:t>
      </w:r>
    </w:p>
    <w:p w:rsidR="00E52152" w:rsidRDefault="007C4980">
      <w:pPr>
        <w:pStyle w:val="3"/>
        <w:rPr>
          <w:b w:val="0"/>
          <w:bCs/>
          <w:sz w:val="24"/>
        </w:rPr>
      </w:pPr>
      <w:r>
        <w:rPr>
          <w:rFonts w:hint="eastAsia"/>
          <w:b w:val="0"/>
          <w:bCs/>
          <w:sz w:val="24"/>
        </w:rPr>
        <w:t xml:space="preserve">1 </w:t>
      </w:r>
      <w:r>
        <w:rPr>
          <w:rFonts w:hint="eastAsia"/>
          <w:b w:val="0"/>
          <w:bCs/>
          <w:sz w:val="24"/>
        </w:rPr>
        <w:t>标准编制原则</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在制定过程中，遵循“面向市场、服务产业、自主制定、适时推出、及时修订、不断完善”的原则，注重标准修订与技术创新、试验验证、产业推进、应用推广相结合，本着先进性、科学性、合理性和可操作性以及标准的目标、统一性、协调性、适用性、一致性和规范性的原则来进行本标准的制定工作。</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本标准在起草过程中主要按</w:t>
      </w:r>
      <w:r>
        <w:rPr>
          <w:rFonts w:ascii="宋体" w:eastAsia="宋体" w:hAnsi="宋体" w:cs="宋体" w:hint="eastAsia"/>
          <w:sz w:val="24"/>
        </w:rPr>
        <w:t>GB/T 1.1-2020</w:t>
      </w:r>
      <w:r>
        <w:rPr>
          <w:rFonts w:ascii="宋体" w:eastAsia="宋体" w:hAnsi="宋体" w:cs="宋体" w:hint="eastAsia"/>
          <w:sz w:val="24"/>
        </w:rPr>
        <w:t>《标准化工作导则</w:t>
      </w:r>
      <w:r>
        <w:rPr>
          <w:rFonts w:ascii="宋体" w:eastAsia="宋体" w:hAnsi="宋体" w:cs="宋体" w:hint="eastAsia"/>
          <w:sz w:val="24"/>
        </w:rPr>
        <w:t xml:space="preserve"> </w:t>
      </w:r>
      <w:r>
        <w:rPr>
          <w:rFonts w:ascii="宋体" w:eastAsia="宋体" w:hAnsi="宋体" w:cs="宋体" w:hint="eastAsia"/>
          <w:sz w:val="24"/>
        </w:rPr>
        <w:t>第</w:t>
      </w:r>
      <w:r>
        <w:rPr>
          <w:rFonts w:ascii="宋体" w:eastAsia="宋体" w:hAnsi="宋体" w:cs="宋体" w:hint="eastAsia"/>
          <w:sz w:val="24"/>
        </w:rPr>
        <w:t>1</w:t>
      </w:r>
      <w:r>
        <w:rPr>
          <w:rFonts w:ascii="宋体" w:eastAsia="宋体" w:hAnsi="宋体" w:cs="宋体" w:hint="eastAsia"/>
          <w:sz w:val="24"/>
        </w:rPr>
        <w:t>部分：标准化文件的结构和起草规则》的要求编写。在确定本标准主要技术指标时，综合考虑生产企业的能力和用户的利益，寻求最大的经济、社会效益，充分体现了标准在技术上的先进</w:t>
      </w:r>
      <w:r>
        <w:rPr>
          <w:rFonts w:ascii="宋体" w:eastAsia="宋体" w:hAnsi="宋体" w:cs="宋体" w:hint="eastAsia"/>
          <w:sz w:val="24"/>
        </w:rPr>
        <w:t>性和合理性。</w:t>
      </w:r>
    </w:p>
    <w:p w:rsidR="00E52152" w:rsidRDefault="007C4980">
      <w:pPr>
        <w:pStyle w:val="3"/>
        <w:rPr>
          <w:rFonts w:asciiTheme="minorEastAsia" w:hAnsiTheme="minorEastAsia" w:cstheme="minorEastAsia"/>
          <w:b w:val="0"/>
          <w:bCs/>
          <w:sz w:val="24"/>
        </w:rPr>
      </w:pPr>
      <w:r>
        <w:rPr>
          <w:rFonts w:asciiTheme="minorEastAsia" w:hAnsiTheme="minorEastAsia" w:cstheme="minorEastAsia" w:hint="eastAsia"/>
          <w:b w:val="0"/>
          <w:bCs/>
          <w:sz w:val="24"/>
        </w:rPr>
        <w:t xml:space="preserve">2 </w:t>
      </w:r>
      <w:r>
        <w:rPr>
          <w:rFonts w:asciiTheme="minorEastAsia" w:hAnsiTheme="minorEastAsia" w:cstheme="minorEastAsia" w:hint="eastAsia"/>
          <w:b w:val="0"/>
          <w:bCs/>
          <w:sz w:val="24"/>
        </w:rPr>
        <w:t>主要内容</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材料是承载装备全产业链、全生命周期成本和安全最重要的物质载体，但实际研发、生产、使用过程中，材料数据的孤岛现象非常严重。如果可以形成安全、有效的共享模式不仅可以减少重复工作，提高研发生产效率，更能够促进材料行业和相关产业的高速发展。构建基于区块链的材料数据关联共享技术，能够在保障数据所有权的情况下有效促进数据的传播。</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本标准的制定参考了国际学术界提出的一套旨在克服数据发现与重用障碍的共同原则，即可发现（</w:t>
      </w:r>
      <w:r>
        <w:rPr>
          <w:rFonts w:ascii="宋体" w:eastAsia="宋体" w:hAnsi="宋体" w:cs="宋体" w:hint="eastAsia"/>
          <w:sz w:val="24"/>
        </w:rPr>
        <w:t>Findable</w:t>
      </w:r>
      <w:r>
        <w:rPr>
          <w:rFonts w:ascii="宋体" w:eastAsia="宋体" w:hAnsi="宋体" w:cs="宋体" w:hint="eastAsia"/>
          <w:sz w:val="24"/>
        </w:rPr>
        <w:t>）、可访问（</w:t>
      </w:r>
      <w:r>
        <w:rPr>
          <w:rFonts w:ascii="宋体" w:eastAsia="宋体" w:hAnsi="宋体" w:cs="宋体" w:hint="eastAsia"/>
          <w:sz w:val="24"/>
        </w:rPr>
        <w:t>Accessible</w:t>
      </w:r>
      <w:r>
        <w:rPr>
          <w:rFonts w:ascii="宋体" w:eastAsia="宋体" w:hAnsi="宋体" w:cs="宋体" w:hint="eastAsia"/>
          <w:sz w:val="24"/>
        </w:rPr>
        <w:t>）、可交互</w:t>
      </w:r>
      <w:r>
        <w:rPr>
          <w:rFonts w:ascii="宋体" w:eastAsia="宋体" w:hAnsi="宋体" w:cs="宋体" w:hint="eastAsia"/>
          <w:sz w:val="24"/>
        </w:rPr>
        <w:lastRenderedPageBreak/>
        <w:t>（</w:t>
      </w:r>
      <w:r>
        <w:rPr>
          <w:rFonts w:ascii="宋体" w:eastAsia="宋体" w:hAnsi="宋体" w:cs="宋体" w:hint="eastAsia"/>
          <w:sz w:val="24"/>
        </w:rPr>
        <w:t>Interoper</w:t>
      </w:r>
      <w:r>
        <w:rPr>
          <w:rFonts w:ascii="宋体" w:eastAsia="宋体" w:hAnsi="宋体" w:cs="宋体" w:hint="eastAsia"/>
          <w:sz w:val="24"/>
        </w:rPr>
        <w:t>able</w:t>
      </w:r>
      <w:r>
        <w:rPr>
          <w:rFonts w:ascii="宋体" w:eastAsia="宋体" w:hAnsi="宋体" w:cs="宋体" w:hint="eastAsia"/>
          <w:sz w:val="24"/>
        </w:rPr>
        <w:t>）、可重用（</w:t>
      </w:r>
      <w:r>
        <w:rPr>
          <w:rFonts w:ascii="宋体" w:eastAsia="宋体" w:hAnsi="宋体" w:cs="宋体" w:hint="eastAsia"/>
          <w:sz w:val="24"/>
        </w:rPr>
        <w:t>Reusable</w:t>
      </w:r>
      <w:r>
        <w:rPr>
          <w:rFonts w:ascii="宋体" w:eastAsia="宋体" w:hAnsi="宋体" w:cs="宋体" w:hint="eastAsia"/>
          <w:sz w:val="24"/>
        </w:rPr>
        <w:t>），的</w:t>
      </w:r>
      <w:r>
        <w:rPr>
          <w:rFonts w:ascii="宋体" w:eastAsia="宋体" w:hAnsi="宋体" w:cs="宋体" w:hint="eastAsia"/>
          <w:sz w:val="24"/>
        </w:rPr>
        <w:t>FAIR</w:t>
      </w:r>
      <w:r>
        <w:rPr>
          <w:rFonts w:ascii="宋体" w:eastAsia="宋体" w:hAnsi="宋体" w:cs="宋体" w:hint="eastAsia"/>
          <w:sz w:val="24"/>
        </w:rPr>
        <w:t>原则。针对材料数据的确权、发现、共享和估值难题，以及材料行业数字化转型应用场景匮乏的情况，本标准提出了材料区块链解决方案。通过将材料数据与区块链、大数据、模式识别等技术结合，实现材料全产业链、全生命周期数据安全共享的材料数据交流平台。</w:t>
      </w:r>
    </w:p>
    <w:p w:rsidR="00E52152" w:rsidRDefault="00E52152"/>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a)</w:t>
      </w:r>
      <w:r>
        <w:rPr>
          <w:rFonts w:ascii="宋体" w:eastAsia="宋体" w:hAnsi="宋体" w:cs="宋体" w:hint="eastAsia"/>
          <w:sz w:val="24"/>
        </w:rPr>
        <w:t>标准名称</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本标准中文名</w:t>
      </w:r>
      <w:r>
        <w:rPr>
          <w:rFonts w:ascii="宋体" w:eastAsia="宋体" w:hAnsi="宋体" w:cs="宋体" w:hint="eastAsia"/>
          <w:sz w:val="24"/>
        </w:rPr>
        <w:t>称为《材料数据区块链</w:t>
      </w:r>
      <w:r>
        <w:rPr>
          <w:rFonts w:ascii="宋体" w:eastAsia="宋体" w:hAnsi="宋体" w:cs="宋体" w:hint="eastAsia"/>
          <w:sz w:val="24"/>
        </w:rPr>
        <w:t xml:space="preserve"> </w:t>
      </w:r>
      <w:r>
        <w:rPr>
          <w:rFonts w:ascii="宋体" w:eastAsia="宋体" w:hAnsi="宋体" w:cs="宋体" w:hint="eastAsia"/>
          <w:sz w:val="24"/>
        </w:rPr>
        <w:t>通则》，英文名为《</w:t>
      </w:r>
      <w:r>
        <w:rPr>
          <w:rFonts w:ascii="宋体" w:eastAsia="宋体" w:hAnsi="宋体" w:cs="宋体" w:hint="eastAsia"/>
          <w:sz w:val="24"/>
        </w:rPr>
        <w:t xml:space="preserve">Material data </w:t>
      </w:r>
      <w:proofErr w:type="spellStart"/>
      <w:r>
        <w:rPr>
          <w:rFonts w:ascii="宋体" w:eastAsia="宋体" w:hAnsi="宋体" w:cs="宋体" w:hint="eastAsia"/>
          <w:sz w:val="24"/>
        </w:rPr>
        <w:t>blockchain</w:t>
      </w:r>
      <w:proofErr w:type="spellEnd"/>
      <w:r>
        <w:rPr>
          <w:rFonts w:ascii="宋体" w:eastAsia="宋体" w:hAnsi="宋体" w:cs="宋体" w:hint="eastAsia"/>
          <w:sz w:val="24"/>
        </w:rPr>
        <w:t>—</w:t>
      </w:r>
      <w:r>
        <w:rPr>
          <w:rFonts w:ascii="宋体" w:eastAsia="宋体" w:hAnsi="宋体" w:cs="宋体" w:hint="eastAsia"/>
          <w:sz w:val="24"/>
        </w:rPr>
        <w:t>General rules</w:t>
      </w:r>
      <w:r>
        <w:rPr>
          <w:rFonts w:ascii="宋体" w:eastAsia="宋体" w:hAnsi="宋体" w:cs="宋体" w:hint="eastAsia"/>
          <w:sz w:val="24"/>
        </w:rPr>
        <w:t>》。</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b)</w:t>
      </w:r>
      <w:r>
        <w:rPr>
          <w:rFonts w:ascii="宋体" w:eastAsia="宋体" w:hAnsi="宋体" w:cs="宋体" w:hint="eastAsia"/>
          <w:sz w:val="24"/>
        </w:rPr>
        <w:t>技术内容和适用范围</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本标准规定了材料数据发现及共享的相关术语、总体架构，</w:t>
      </w:r>
      <w:r>
        <w:rPr>
          <w:rFonts w:ascii="宋体" w:eastAsia="宋体" w:hAnsi="宋体" w:cs="宋体" w:hint="eastAsia"/>
          <w:sz w:val="24"/>
        </w:rPr>
        <w:t>并对材料模式定义、权属设置、数据存证、数据发现、共享与追溯、数据估值、节点事务等进行规定，为材料数据区块链的构建与材料数据的发现与共享提供实操性指导。</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本标准适用于所有可描述为成分、性能、工艺、结构等要素的材料数据的跨节点发现、共享与溯源。</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c)</w:t>
      </w:r>
      <w:r>
        <w:rPr>
          <w:rFonts w:ascii="宋体" w:eastAsia="宋体" w:hAnsi="宋体" w:cs="宋体" w:hint="eastAsia"/>
          <w:sz w:val="24"/>
        </w:rPr>
        <w:t>引用标准</w:t>
      </w:r>
    </w:p>
    <w:p w:rsidR="00E52152" w:rsidRDefault="007C4980" w:rsidP="006273D9">
      <w:pPr>
        <w:pStyle w:val="a0"/>
        <w:ind w:firstLine="480"/>
        <w:rPr>
          <w:color w:val="000000" w:themeColor="text1"/>
        </w:rPr>
      </w:pPr>
      <w:r>
        <w:rPr>
          <w:rFonts w:ascii="宋体" w:hAnsi="宋体" w:cs="宋体" w:hint="eastAsia"/>
          <w:szCs w:val="24"/>
        </w:rPr>
        <w:t>分别引</w:t>
      </w:r>
      <w:r>
        <w:rPr>
          <w:rFonts w:ascii="宋体" w:hAnsi="宋体" w:cs="宋体" w:hint="eastAsia"/>
          <w:kern w:val="2"/>
          <w:szCs w:val="24"/>
        </w:rPr>
        <w:t>用</w:t>
      </w:r>
      <w:r>
        <w:rPr>
          <w:rFonts w:ascii="宋体" w:hAnsi="宋体" w:cs="宋体" w:hint="eastAsia"/>
          <w:kern w:val="2"/>
          <w:szCs w:val="24"/>
        </w:rPr>
        <w:t>ISO</w:t>
      </w:r>
      <w:r>
        <w:rPr>
          <w:rFonts w:ascii="宋体" w:hAnsi="宋体" w:cs="宋体" w:hint="eastAsia"/>
          <w:kern w:val="2"/>
          <w:szCs w:val="24"/>
        </w:rPr>
        <w:t>、中国区块链技术和产业发展论坛</w:t>
      </w:r>
      <w:r>
        <w:rPr>
          <w:rFonts w:ascii="宋体" w:hAnsi="宋体" w:cs="宋体" w:hint="eastAsia"/>
          <w:kern w:val="2"/>
          <w:szCs w:val="24"/>
        </w:rPr>
        <w:t>、中国国家标准共</w:t>
      </w:r>
      <w:r>
        <w:rPr>
          <w:rFonts w:ascii="宋体" w:hAnsi="宋体" w:cs="宋体" w:hint="eastAsia"/>
          <w:kern w:val="2"/>
          <w:szCs w:val="24"/>
        </w:rPr>
        <w:t>4</w:t>
      </w:r>
      <w:r>
        <w:rPr>
          <w:rFonts w:ascii="宋体" w:hAnsi="宋体" w:cs="宋体" w:hint="eastAsia"/>
          <w:kern w:val="2"/>
          <w:szCs w:val="24"/>
        </w:rPr>
        <w:t>个，</w:t>
      </w:r>
      <w:r>
        <w:rPr>
          <w:rFonts w:hint="eastAsia"/>
          <w:color w:val="000000" w:themeColor="text1"/>
        </w:rPr>
        <w:t>均标</w:t>
      </w:r>
      <w:r>
        <w:rPr>
          <w:rFonts w:hint="eastAsia"/>
          <w:color w:val="000000" w:themeColor="text1"/>
        </w:rPr>
        <w:t>注日期。</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d)</w:t>
      </w:r>
      <w:r>
        <w:rPr>
          <w:rFonts w:ascii="宋体" w:eastAsia="宋体" w:hAnsi="宋体" w:cs="宋体" w:hint="eastAsia"/>
          <w:sz w:val="24"/>
        </w:rPr>
        <w:t>术语和定义</w:t>
      </w:r>
    </w:p>
    <w:p w:rsidR="00E52152" w:rsidRDefault="007C4980" w:rsidP="006273D9">
      <w:pPr>
        <w:pStyle w:val="a0"/>
        <w:ind w:firstLine="480"/>
        <w:rPr>
          <w:rFonts w:ascii="宋体" w:hAnsi="宋体" w:cs="宋体"/>
          <w:szCs w:val="24"/>
        </w:rPr>
      </w:pPr>
      <w:r>
        <w:rPr>
          <w:rFonts w:ascii="宋体" w:hAnsi="宋体" w:cs="宋体" w:hint="eastAsia"/>
          <w:szCs w:val="24"/>
        </w:rPr>
        <w:t>本标准定义了“元数据”、“材料元数据”、“材料四面体”、“版权信息元数据”、“材料模式识别”、“数据发现与共享”“材料数据区块链”、“全节点”、“轻节点”、“超级节点”、“材料行业链”、“材料数据互联网”</w:t>
      </w:r>
      <w:r>
        <w:rPr>
          <w:rFonts w:ascii="宋体" w:hAnsi="宋体" w:cs="宋体" w:hint="eastAsia"/>
          <w:szCs w:val="24"/>
        </w:rPr>
        <w:t>12</w:t>
      </w:r>
      <w:r>
        <w:rPr>
          <w:rFonts w:ascii="宋体" w:hAnsi="宋体" w:cs="宋体" w:hint="eastAsia"/>
          <w:szCs w:val="24"/>
        </w:rPr>
        <w:t>个术语。</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e)</w:t>
      </w:r>
      <w:r>
        <w:rPr>
          <w:rFonts w:ascii="宋体" w:eastAsia="宋体" w:hAnsi="宋体" w:cs="宋体" w:hint="eastAsia"/>
          <w:sz w:val="24"/>
        </w:rPr>
        <w:t>数据共享架构</w:t>
      </w:r>
    </w:p>
    <w:p w:rsidR="00E52152" w:rsidRDefault="007C4980" w:rsidP="006273D9">
      <w:pPr>
        <w:pStyle w:val="a0"/>
        <w:ind w:firstLine="480"/>
        <w:rPr>
          <w:color w:val="000000" w:themeColor="text1"/>
        </w:rPr>
      </w:pPr>
      <w:r>
        <w:rPr>
          <w:rFonts w:hint="eastAsia"/>
          <w:color w:val="000000" w:themeColor="text1"/>
        </w:rPr>
        <w:t>本标准使用一种具有分层结构的区块链数据共享通用架构，由数据层、支撑层、应用层、用户层组成。</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f)</w:t>
      </w:r>
      <w:r>
        <w:rPr>
          <w:rFonts w:ascii="宋体" w:eastAsia="宋体" w:hAnsi="宋体" w:cs="宋体" w:hint="eastAsia"/>
          <w:sz w:val="24"/>
        </w:rPr>
        <w:t>基础应用架构</w:t>
      </w:r>
    </w:p>
    <w:p w:rsidR="00E52152" w:rsidRDefault="007C4980" w:rsidP="006273D9">
      <w:pPr>
        <w:pStyle w:val="a0"/>
        <w:ind w:firstLine="480"/>
        <w:rPr>
          <w:color w:val="000000" w:themeColor="text1"/>
        </w:rPr>
      </w:pPr>
      <w:r>
        <w:rPr>
          <w:rFonts w:hint="eastAsia"/>
          <w:color w:val="000000" w:themeColor="text1"/>
        </w:rPr>
        <w:t>基础应用架构共分为三层，包括</w:t>
      </w:r>
      <w:proofErr w:type="gramStart"/>
      <w:r>
        <w:rPr>
          <w:rFonts w:hint="eastAsia"/>
          <w:color w:val="000000" w:themeColor="text1"/>
        </w:rPr>
        <w:t>私有云</w:t>
      </w:r>
      <w:proofErr w:type="gramEnd"/>
      <w:r>
        <w:rPr>
          <w:rFonts w:hint="eastAsia"/>
          <w:color w:val="000000" w:themeColor="text1"/>
        </w:rPr>
        <w:t>节点、行业链、材料数据互联网。</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g)</w:t>
      </w:r>
      <w:r>
        <w:rPr>
          <w:rFonts w:ascii="宋体" w:eastAsia="宋体" w:hAnsi="宋体" w:cs="宋体" w:hint="eastAsia"/>
          <w:sz w:val="24"/>
        </w:rPr>
        <w:t>材料数据模式</w:t>
      </w:r>
    </w:p>
    <w:p w:rsidR="00E52152" w:rsidRDefault="007C4980" w:rsidP="006273D9">
      <w:pPr>
        <w:pStyle w:val="a0"/>
        <w:ind w:firstLine="480"/>
      </w:pPr>
      <w:r>
        <w:t>材料数据模式包括元数据与数据主体。</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h)</w:t>
      </w:r>
      <w:r>
        <w:rPr>
          <w:rFonts w:ascii="宋体" w:eastAsia="宋体" w:hAnsi="宋体" w:cs="宋体" w:hint="eastAsia"/>
          <w:sz w:val="24"/>
        </w:rPr>
        <w:t>材料数据存证</w:t>
      </w:r>
    </w:p>
    <w:p w:rsidR="00E52152" w:rsidRDefault="007C4980">
      <w:pPr>
        <w:spacing w:line="360" w:lineRule="auto"/>
        <w:ind w:firstLineChars="200" w:firstLine="480"/>
        <w:rPr>
          <w:color w:val="000000" w:themeColor="text1"/>
          <w:sz w:val="24"/>
        </w:rPr>
      </w:pPr>
      <w:r>
        <w:rPr>
          <w:rFonts w:hint="eastAsia"/>
          <w:color w:val="000000" w:themeColor="text1"/>
          <w:sz w:val="24"/>
        </w:rPr>
        <w:lastRenderedPageBreak/>
        <w:t>材料数据存证包括提取元数据、</w:t>
      </w:r>
      <w:r>
        <w:rPr>
          <w:rFonts w:hint="eastAsia"/>
          <w:color w:val="000000" w:themeColor="text1"/>
          <w:sz w:val="24"/>
        </w:rPr>
        <w:t>数据主体加密、存证事件内容等。</w:t>
      </w:r>
    </w:p>
    <w:p w:rsidR="00E52152" w:rsidRDefault="007C4980">
      <w:pPr>
        <w:spacing w:line="360" w:lineRule="auto"/>
        <w:ind w:firstLineChars="200" w:firstLine="480"/>
        <w:rPr>
          <w:rFonts w:ascii="宋体" w:eastAsia="宋体" w:hAnsi="宋体" w:cs="宋体"/>
          <w:sz w:val="24"/>
        </w:rPr>
      </w:pPr>
      <w:proofErr w:type="spellStart"/>
      <w:r>
        <w:rPr>
          <w:rFonts w:ascii="宋体" w:eastAsia="宋体" w:hAnsi="宋体" w:cs="宋体" w:hint="eastAsia"/>
          <w:sz w:val="24"/>
        </w:rPr>
        <w:t>i</w:t>
      </w:r>
      <w:proofErr w:type="spellEnd"/>
      <w:r>
        <w:rPr>
          <w:rFonts w:ascii="宋体" w:eastAsia="宋体" w:hAnsi="宋体" w:cs="宋体" w:hint="eastAsia"/>
          <w:sz w:val="24"/>
        </w:rPr>
        <w:t>)</w:t>
      </w:r>
      <w:r>
        <w:rPr>
          <w:rFonts w:ascii="宋体" w:eastAsia="宋体" w:hAnsi="宋体" w:cs="宋体" w:hint="eastAsia"/>
          <w:sz w:val="24"/>
        </w:rPr>
        <w:t>材料数据的发现</w:t>
      </w:r>
    </w:p>
    <w:p w:rsidR="00E52152" w:rsidRDefault="007C4980" w:rsidP="006273D9">
      <w:pPr>
        <w:pStyle w:val="a0"/>
        <w:ind w:firstLine="480"/>
        <w:rPr>
          <w:color w:val="000000" w:themeColor="text1"/>
        </w:rPr>
      </w:pPr>
      <w:r>
        <w:rPr>
          <w:rFonts w:hint="eastAsia"/>
          <w:color w:val="000000" w:themeColor="text1"/>
        </w:rPr>
        <w:t>材料数据间的发现和索引可基于材料元数据约定的数据模式，通过材料模式识别等算法实现。</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j)</w:t>
      </w:r>
      <w:r>
        <w:rPr>
          <w:rFonts w:ascii="宋体" w:eastAsia="宋体" w:hAnsi="宋体" w:cs="宋体" w:hint="eastAsia"/>
          <w:sz w:val="24"/>
        </w:rPr>
        <w:t>数据的共享与追溯</w:t>
      </w:r>
    </w:p>
    <w:p w:rsidR="00E52152" w:rsidRDefault="007C4980" w:rsidP="006273D9">
      <w:pPr>
        <w:pStyle w:val="a0"/>
        <w:ind w:firstLine="480"/>
        <w:rPr>
          <w:color w:val="000000" w:themeColor="text1"/>
        </w:rPr>
      </w:pPr>
      <w:r>
        <w:rPr>
          <w:rFonts w:hint="eastAsia"/>
          <w:color w:val="000000" w:themeColor="text1"/>
        </w:rPr>
        <w:t>数据所有者授权后，可与数据请求者进行数据共享，共享、浏览等行为通过事务日志进行记录并上链存证，难以篡改，起到版权追溯的作用。</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k)</w:t>
      </w:r>
      <w:r>
        <w:rPr>
          <w:rFonts w:ascii="宋体" w:eastAsia="宋体" w:hAnsi="宋体" w:cs="宋体" w:hint="eastAsia"/>
          <w:sz w:val="24"/>
        </w:rPr>
        <w:t>数据估值</w:t>
      </w:r>
    </w:p>
    <w:p w:rsidR="00E52152" w:rsidRDefault="007C4980" w:rsidP="006273D9">
      <w:pPr>
        <w:pStyle w:val="a0"/>
        <w:ind w:firstLine="480"/>
        <w:rPr>
          <w:color w:val="000000" w:themeColor="text1"/>
        </w:rPr>
      </w:pPr>
      <w:r>
        <w:rPr>
          <w:rFonts w:hint="eastAsia"/>
          <w:color w:val="000000" w:themeColor="text1"/>
        </w:rPr>
        <w:t>通过统计上链数据的活跃度（被交换、引用次数）及用户反馈可计算得出单条数据的价值。节点数据价值为所有属于该节点的数据价值的总和。</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l)</w:t>
      </w:r>
      <w:r>
        <w:rPr>
          <w:rFonts w:ascii="宋体" w:eastAsia="宋体" w:hAnsi="宋体" w:cs="宋体" w:hint="eastAsia"/>
          <w:sz w:val="24"/>
        </w:rPr>
        <w:t>节点事务</w:t>
      </w:r>
    </w:p>
    <w:p w:rsidR="00E52152" w:rsidRDefault="007C4980" w:rsidP="006273D9">
      <w:pPr>
        <w:pStyle w:val="a0"/>
        <w:ind w:firstLine="480"/>
      </w:pPr>
      <w:r>
        <w:rPr>
          <w:rFonts w:hint="eastAsia"/>
        </w:rPr>
        <w:t>节点事务包括节点的加入、变更和注销、节点影响力计算、超级节点机制、监管节</w:t>
      </w:r>
      <w:r>
        <w:rPr>
          <w:rFonts w:hint="eastAsia"/>
        </w:rPr>
        <w:t>点机制、行业链机制、共识机制。</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m)</w:t>
      </w:r>
      <w:r>
        <w:rPr>
          <w:rFonts w:ascii="宋体" w:eastAsia="宋体" w:hAnsi="宋体" w:cs="宋体" w:hint="eastAsia"/>
          <w:sz w:val="24"/>
        </w:rPr>
        <w:t>协议更新机制</w:t>
      </w:r>
    </w:p>
    <w:p w:rsidR="00E52152" w:rsidRDefault="007C4980" w:rsidP="006273D9">
      <w:pPr>
        <w:pStyle w:val="a0"/>
        <w:ind w:firstLine="480"/>
      </w:pPr>
      <w:r>
        <w:rPr>
          <w:rFonts w:ascii="宋体" w:hAnsi="宋体" w:cs="宋体" w:hint="eastAsia"/>
          <w:szCs w:val="24"/>
        </w:rPr>
        <w:t>协议更新机制包括内容性更新和结构性更新。</w:t>
      </w:r>
    </w:p>
    <w:p w:rsidR="00E52152" w:rsidRDefault="007C4980">
      <w:pPr>
        <w:pStyle w:val="2"/>
        <w:numPr>
          <w:ilvl w:val="0"/>
          <w:numId w:val="1"/>
        </w:numPr>
      </w:pPr>
      <w:r>
        <w:rPr>
          <w:rFonts w:hint="eastAsia"/>
          <w:b w:val="0"/>
          <w:bCs/>
        </w:rPr>
        <w:t>主要验证情况分析</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本标准已用于由北京钢研新材科技有限公司发布的“</w:t>
      </w:r>
      <w:proofErr w:type="spellStart"/>
      <w:r>
        <w:rPr>
          <w:rFonts w:ascii="宋体" w:eastAsia="宋体" w:hAnsi="宋体" w:cs="宋体" w:hint="eastAsia"/>
          <w:sz w:val="24"/>
        </w:rPr>
        <w:t>Atsteel</w:t>
      </w:r>
      <w:proofErr w:type="spellEnd"/>
      <w:r>
        <w:rPr>
          <w:rFonts w:ascii="宋体" w:eastAsia="宋体" w:hAnsi="宋体" w:cs="宋体" w:hint="eastAsia"/>
          <w:sz w:val="24"/>
        </w:rPr>
        <w:t>钢</w:t>
      </w:r>
      <w:proofErr w:type="gramStart"/>
      <w:r>
        <w:rPr>
          <w:rFonts w:ascii="宋体" w:eastAsia="宋体" w:hAnsi="宋体" w:cs="宋体" w:hint="eastAsia"/>
          <w:sz w:val="24"/>
        </w:rPr>
        <w:t>研</w:t>
      </w:r>
      <w:proofErr w:type="gramEnd"/>
      <w:r>
        <w:rPr>
          <w:rFonts w:ascii="宋体" w:eastAsia="宋体" w:hAnsi="宋体" w:cs="宋体" w:hint="eastAsia"/>
          <w:sz w:val="24"/>
        </w:rPr>
        <w:t>·新材道全球钢材高端云服务平台”和中国钢</w:t>
      </w:r>
      <w:proofErr w:type="gramStart"/>
      <w:r>
        <w:rPr>
          <w:rFonts w:ascii="宋体" w:eastAsia="宋体" w:hAnsi="宋体" w:cs="宋体" w:hint="eastAsia"/>
          <w:sz w:val="24"/>
        </w:rPr>
        <w:t>研发布</w:t>
      </w:r>
      <w:proofErr w:type="gramEnd"/>
      <w:r>
        <w:rPr>
          <w:rFonts w:ascii="宋体" w:eastAsia="宋体" w:hAnsi="宋体" w:cs="宋体" w:hint="eastAsia"/>
          <w:sz w:val="24"/>
        </w:rPr>
        <w:t>的“</w:t>
      </w:r>
      <w:r>
        <w:rPr>
          <w:rFonts w:ascii="宋体" w:eastAsia="宋体" w:hAnsi="宋体" w:cs="宋体" w:hint="eastAsia"/>
          <w:sz w:val="24"/>
        </w:rPr>
        <w:t>CISRI-</w:t>
      </w:r>
      <w:proofErr w:type="spellStart"/>
      <w:r>
        <w:rPr>
          <w:rFonts w:ascii="宋体" w:eastAsia="宋体" w:hAnsi="宋体" w:cs="宋体" w:hint="eastAsia"/>
          <w:sz w:val="24"/>
        </w:rPr>
        <w:t>DLab</w:t>
      </w:r>
      <w:proofErr w:type="spellEnd"/>
      <w:r>
        <w:rPr>
          <w:rFonts w:ascii="宋体" w:eastAsia="宋体" w:hAnsi="宋体" w:cs="宋体" w:hint="eastAsia"/>
          <w:sz w:val="24"/>
        </w:rPr>
        <w:t>数字化研发平台”间。根据本标准进行区块链底层功能部署，在区块链技术基础上添加了材料数据链上发现功能，实现了数据链上计算匹配的技术。现已通过“</w:t>
      </w:r>
      <w:proofErr w:type="spellStart"/>
      <w:r>
        <w:rPr>
          <w:rFonts w:ascii="宋体" w:eastAsia="宋体" w:hAnsi="宋体" w:cs="宋体" w:hint="eastAsia"/>
          <w:sz w:val="24"/>
        </w:rPr>
        <w:t>Atsteel</w:t>
      </w:r>
      <w:proofErr w:type="spellEnd"/>
      <w:r>
        <w:rPr>
          <w:rFonts w:ascii="宋体" w:eastAsia="宋体" w:hAnsi="宋体" w:cs="宋体" w:hint="eastAsia"/>
          <w:sz w:val="24"/>
        </w:rPr>
        <w:t>钢</w:t>
      </w:r>
      <w:proofErr w:type="gramStart"/>
      <w:r>
        <w:rPr>
          <w:rFonts w:ascii="宋体" w:eastAsia="宋体" w:hAnsi="宋体" w:cs="宋体" w:hint="eastAsia"/>
          <w:sz w:val="24"/>
        </w:rPr>
        <w:t>研</w:t>
      </w:r>
      <w:proofErr w:type="gramEnd"/>
      <w:r>
        <w:rPr>
          <w:rFonts w:ascii="宋体" w:eastAsia="宋体" w:hAnsi="宋体" w:cs="宋体" w:hint="eastAsia"/>
          <w:sz w:val="24"/>
        </w:rPr>
        <w:t>·新材道全球钢材高端云服务平台”连通南钢、天津一重、中石化、</w:t>
      </w:r>
      <w:proofErr w:type="spellStart"/>
      <w:r>
        <w:rPr>
          <w:rFonts w:ascii="宋体" w:eastAsia="宋体" w:hAnsi="宋体" w:cs="宋体" w:hint="eastAsia"/>
          <w:sz w:val="24"/>
        </w:rPr>
        <w:t>MatMatch</w:t>
      </w:r>
      <w:proofErr w:type="spellEnd"/>
      <w:r>
        <w:rPr>
          <w:rFonts w:ascii="宋体" w:eastAsia="宋体" w:hAnsi="宋体" w:cs="宋体" w:hint="eastAsia"/>
          <w:sz w:val="24"/>
        </w:rPr>
        <w:t>、</w:t>
      </w:r>
      <w:proofErr w:type="spellStart"/>
      <w:r>
        <w:rPr>
          <w:rFonts w:ascii="宋体" w:eastAsia="宋体" w:hAnsi="宋体" w:cs="宋体" w:hint="eastAsia"/>
          <w:sz w:val="24"/>
        </w:rPr>
        <w:t>TotalMateria</w:t>
      </w:r>
      <w:proofErr w:type="spellEnd"/>
      <w:r>
        <w:rPr>
          <w:rFonts w:ascii="宋体" w:eastAsia="宋体" w:hAnsi="宋体" w:cs="宋体" w:hint="eastAsia"/>
          <w:sz w:val="24"/>
        </w:rPr>
        <w:t>等多个国内外材料数据库，形成连通材料生产商、装备制造商及终端用户的全产业链、全生命周期数据关联共享系统。</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其中，</w:t>
      </w:r>
      <w:r>
        <w:rPr>
          <w:rFonts w:ascii="宋体" w:eastAsia="宋体" w:hAnsi="宋体" w:cs="宋体" w:hint="eastAsia"/>
          <w:sz w:val="24"/>
        </w:rPr>
        <w:t>CIS</w:t>
      </w:r>
      <w:r>
        <w:rPr>
          <w:rFonts w:ascii="宋体" w:eastAsia="宋体" w:hAnsi="宋体" w:cs="宋体" w:hint="eastAsia"/>
          <w:sz w:val="24"/>
        </w:rPr>
        <w:t>RI-</w:t>
      </w:r>
      <w:proofErr w:type="spellStart"/>
      <w:r>
        <w:rPr>
          <w:rFonts w:ascii="宋体" w:eastAsia="宋体" w:hAnsi="宋体" w:cs="宋体" w:hint="eastAsia"/>
          <w:sz w:val="24"/>
        </w:rPr>
        <w:t>DLab</w:t>
      </w:r>
      <w:proofErr w:type="spellEnd"/>
      <w:r>
        <w:rPr>
          <w:rFonts w:ascii="宋体" w:eastAsia="宋体" w:hAnsi="宋体" w:cs="宋体" w:hint="eastAsia"/>
          <w:sz w:val="24"/>
        </w:rPr>
        <w:t>数字化研发平台根据本标准部署的材料区块链系统现已迟滞数据整体或部分字段加密上链；支持结构化、非结构化数据以及视频、图片、文档等多类型大文件上链；</w:t>
      </w:r>
      <w:proofErr w:type="gramStart"/>
      <w:r>
        <w:rPr>
          <w:rFonts w:ascii="宋体" w:eastAsia="宋体" w:hAnsi="宋体" w:cs="宋体" w:hint="eastAsia"/>
          <w:sz w:val="24"/>
        </w:rPr>
        <w:t>支持国密算法</w:t>
      </w:r>
      <w:proofErr w:type="gramEnd"/>
      <w:r>
        <w:rPr>
          <w:rFonts w:ascii="宋体" w:eastAsia="宋体" w:hAnsi="宋体" w:cs="宋体" w:hint="eastAsia"/>
          <w:sz w:val="24"/>
        </w:rPr>
        <w:t>及</w:t>
      </w:r>
      <w:r>
        <w:rPr>
          <w:rFonts w:ascii="宋体" w:eastAsia="宋体" w:hAnsi="宋体" w:cs="宋体" w:hint="eastAsia"/>
          <w:sz w:val="24"/>
        </w:rPr>
        <w:t>RAFT</w:t>
      </w:r>
      <w:r>
        <w:rPr>
          <w:rFonts w:ascii="宋体" w:eastAsia="宋体" w:hAnsi="宋体" w:cs="宋体" w:hint="eastAsia"/>
          <w:sz w:val="24"/>
        </w:rPr>
        <w:t>、</w:t>
      </w:r>
      <w:r>
        <w:rPr>
          <w:rFonts w:ascii="宋体" w:eastAsia="宋体" w:hAnsi="宋体" w:cs="宋体" w:hint="eastAsia"/>
          <w:sz w:val="24"/>
        </w:rPr>
        <w:t>TBFT</w:t>
      </w:r>
      <w:r>
        <w:rPr>
          <w:rFonts w:ascii="宋体" w:eastAsia="宋体" w:hAnsi="宋体" w:cs="宋体" w:hint="eastAsia"/>
          <w:sz w:val="24"/>
        </w:rPr>
        <w:t>等多种共识算法。</w:t>
      </w:r>
      <w:proofErr w:type="spellStart"/>
      <w:r>
        <w:rPr>
          <w:rFonts w:ascii="宋体" w:eastAsia="宋体" w:hAnsi="宋体" w:cs="宋体" w:hint="eastAsia"/>
          <w:sz w:val="24"/>
        </w:rPr>
        <w:t>Atsteel</w:t>
      </w:r>
      <w:proofErr w:type="spellEnd"/>
      <w:r>
        <w:rPr>
          <w:rFonts w:ascii="宋体" w:eastAsia="宋体" w:hAnsi="宋体" w:cs="宋体" w:hint="eastAsia"/>
          <w:sz w:val="24"/>
        </w:rPr>
        <w:t>钢</w:t>
      </w:r>
      <w:proofErr w:type="gramStart"/>
      <w:r>
        <w:rPr>
          <w:rFonts w:ascii="宋体" w:eastAsia="宋体" w:hAnsi="宋体" w:cs="宋体" w:hint="eastAsia"/>
          <w:sz w:val="24"/>
        </w:rPr>
        <w:t>研</w:t>
      </w:r>
      <w:proofErr w:type="gramEnd"/>
      <w:r>
        <w:rPr>
          <w:rFonts w:ascii="宋体" w:eastAsia="宋体" w:hAnsi="宋体" w:cs="宋体" w:hint="eastAsia"/>
          <w:sz w:val="24"/>
        </w:rPr>
        <w:t>·新材</w:t>
      </w:r>
      <w:proofErr w:type="gramStart"/>
      <w:r>
        <w:rPr>
          <w:rFonts w:ascii="宋体" w:eastAsia="宋体" w:hAnsi="宋体" w:cs="宋体" w:hint="eastAsia"/>
          <w:sz w:val="24"/>
        </w:rPr>
        <w:t>道全球钢材高端云服务</w:t>
      </w:r>
      <w:proofErr w:type="gramEnd"/>
      <w:r>
        <w:rPr>
          <w:rFonts w:ascii="宋体" w:eastAsia="宋体" w:hAnsi="宋体" w:cs="宋体" w:hint="eastAsia"/>
          <w:sz w:val="24"/>
        </w:rPr>
        <w:t>平台搭载了基于区块链的产权标记技术、基于模式识别的数据关联技术以及基于深度学习的材料图谱识别技术；提供云检测、云计算、远程科研等服务资源。</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验证结果表明，本标准制定的基于材料区块链的数据发现、关联共享方法能够有效的解决材料数据共享中数据产权模糊、异构化数据存证、</w:t>
      </w:r>
      <w:r>
        <w:rPr>
          <w:rFonts w:ascii="宋体" w:eastAsia="宋体" w:hAnsi="宋体" w:cs="宋体" w:hint="eastAsia"/>
          <w:sz w:val="24"/>
        </w:rPr>
        <w:t>数据跨法人节点关联等难点。证明本标准规定的技术要求既先进合理，又切实可行。</w:t>
      </w:r>
    </w:p>
    <w:p w:rsidR="00E52152" w:rsidRDefault="007C4980">
      <w:pPr>
        <w:pStyle w:val="2"/>
        <w:numPr>
          <w:ilvl w:val="0"/>
          <w:numId w:val="1"/>
        </w:numPr>
        <w:rPr>
          <w:b w:val="0"/>
          <w:bCs/>
        </w:rPr>
      </w:pPr>
      <w:r>
        <w:rPr>
          <w:rFonts w:hint="eastAsia"/>
          <w:b w:val="0"/>
          <w:bCs/>
        </w:rPr>
        <w:t>标准知识产权说明</w:t>
      </w:r>
    </w:p>
    <w:p w:rsidR="00E52152" w:rsidRDefault="007C4980" w:rsidP="006273D9">
      <w:pPr>
        <w:pStyle w:val="a0"/>
        <w:ind w:firstLine="480"/>
      </w:pPr>
      <w:r>
        <w:rPr>
          <w:rFonts w:ascii="宋体" w:hAnsi="宋体" w:cs="宋体" w:hint="eastAsia"/>
          <w:szCs w:val="24"/>
        </w:rPr>
        <w:t>无</w:t>
      </w:r>
    </w:p>
    <w:p w:rsidR="00E52152" w:rsidRDefault="007C4980">
      <w:pPr>
        <w:pStyle w:val="2"/>
        <w:numPr>
          <w:ilvl w:val="0"/>
          <w:numId w:val="1"/>
        </w:numPr>
        <w:rPr>
          <w:b w:val="0"/>
          <w:bCs/>
        </w:rPr>
      </w:pPr>
      <w:r>
        <w:rPr>
          <w:rFonts w:hint="eastAsia"/>
          <w:b w:val="0"/>
          <w:bCs/>
        </w:rPr>
        <w:t>产业化情况、推广应用论证和预期达到的经济效果等情况</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根据本标准中提出的材料区块链、材料元数据及材料模式识别技术可解决企业间数据共享过程中数据产权归属、异构数据存证、不同法人节点</w:t>
      </w:r>
      <w:proofErr w:type="gramStart"/>
      <w:r>
        <w:rPr>
          <w:rFonts w:ascii="宋体" w:eastAsia="宋体" w:hAnsi="宋体" w:cs="宋体" w:hint="eastAsia"/>
          <w:sz w:val="24"/>
        </w:rPr>
        <w:t>间数据</w:t>
      </w:r>
      <w:proofErr w:type="gramEnd"/>
      <w:r>
        <w:rPr>
          <w:rFonts w:ascii="宋体" w:eastAsia="宋体" w:hAnsi="宋体" w:cs="宋体" w:hint="eastAsia"/>
          <w:sz w:val="24"/>
        </w:rPr>
        <w:t>匹配。将有利于形成材料数据安全、有效的共享模式，提高研发生产效率，为材料行业数字化转型提供应用场景。</w:t>
      </w:r>
    </w:p>
    <w:p w:rsidR="00E52152" w:rsidRDefault="00E52152">
      <w:pPr>
        <w:ind w:firstLine="420"/>
        <w:rPr>
          <w:rFonts w:ascii="宋体" w:eastAsia="宋体" w:hAnsi="宋体" w:cs="宋体"/>
          <w:sz w:val="20"/>
          <w:szCs w:val="20"/>
        </w:rPr>
      </w:pPr>
    </w:p>
    <w:p w:rsidR="00E52152" w:rsidRDefault="007C4980">
      <w:pPr>
        <w:pStyle w:val="2"/>
        <w:numPr>
          <w:ilvl w:val="0"/>
          <w:numId w:val="1"/>
        </w:numPr>
        <w:rPr>
          <w:b w:val="0"/>
          <w:bCs/>
        </w:rPr>
      </w:pPr>
      <w:r>
        <w:rPr>
          <w:rFonts w:hint="eastAsia"/>
          <w:b w:val="0"/>
          <w:bCs/>
        </w:rPr>
        <w:t>采用国际标准和国外先进标准情况，与国际、国外同类标准水平的对比情况</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本标准制定过程未检索到同类国际标准或国外先进标准。</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本标准制定过程中未采集国外的数据样本。</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建议本标准的标准水平为国际先进水平。</w:t>
      </w:r>
    </w:p>
    <w:p w:rsidR="00E52152" w:rsidRDefault="007C4980">
      <w:pPr>
        <w:pStyle w:val="2"/>
        <w:numPr>
          <w:ilvl w:val="0"/>
          <w:numId w:val="1"/>
        </w:numPr>
        <w:rPr>
          <w:b w:val="0"/>
          <w:bCs/>
        </w:rPr>
      </w:pPr>
      <w:r>
        <w:rPr>
          <w:rFonts w:hint="eastAsia"/>
          <w:b w:val="0"/>
          <w:bCs/>
        </w:rPr>
        <w:t>与现行相关法律、法规、规章及相关标准，特别是强制性标准的协调性</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本标准与现行相关法律、法规、规章及相关标准协调一致。</w:t>
      </w:r>
    </w:p>
    <w:p w:rsidR="00E52152" w:rsidRDefault="00E52152">
      <w:pPr>
        <w:ind w:firstLine="420"/>
        <w:rPr>
          <w:rFonts w:ascii="宋体" w:eastAsia="宋体" w:hAnsi="宋体" w:cs="宋体"/>
          <w:sz w:val="20"/>
          <w:szCs w:val="20"/>
        </w:rPr>
      </w:pPr>
    </w:p>
    <w:p w:rsidR="00E52152" w:rsidRDefault="007C4980">
      <w:pPr>
        <w:pStyle w:val="2"/>
        <w:numPr>
          <w:ilvl w:val="0"/>
          <w:numId w:val="1"/>
        </w:numPr>
        <w:rPr>
          <w:b w:val="0"/>
          <w:bCs/>
        </w:rPr>
      </w:pPr>
      <w:r>
        <w:rPr>
          <w:rFonts w:hint="eastAsia"/>
          <w:b w:val="0"/>
          <w:bCs/>
        </w:rPr>
        <w:t>重大分歧意见的处理经过和依据</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无。</w:t>
      </w:r>
    </w:p>
    <w:p w:rsidR="00E52152" w:rsidRDefault="007C4980">
      <w:pPr>
        <w:pStyle w:val="2"/>
        <w:numPr>
          <w:ilvl w:val="0"/>
          <w:numId w:val="1"/>
        </w:numPr>
        <w:rPr>
          <w:b w:val="0"/>
          <w:bCs/>
        </w:rPr>
      </w:pPr>
      <w:r>
        <w:rPr>
          <w:rFonts w:hint="eastAsia"/>
          <w:b w:val="0"/>
          <w:bCs/>
        </w:rPr>
        <w:t>标准性质的建议说明</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建议本标准的性</w:t>
      </w:r>
      <w:bookmarkStart w:id="0" w:name="_GoBack"/>
      <w:bookmarkEnd w:id="0"/>
      <w:r>
        <w:rPr>
          <w:rFonts w:ascii="宋体" w:eastAsia="宋体" w:hAnsi="宋体" w:cs="宋体" w:hint="eastAsia"/>
          <w:sz w:val="24"/>
        </w:rPr>
        <w:t>质为推荐性团体标准。</w:t>
      </w:r>
    </w:p>
    <w:p w:rsidR="00E52152" w:rsidRDefault="007C4980">
      <w:pPr>
        <w:pStyle w:val="2"/>
        <w:numPr>
          <w:ilvl w:val="0"/>
          <w:numId w:val="1"/>
        </w:numPr>
        <w:rPr>
          <w:b w:val="0"/>
          <w:bCs/>
        </w:rPr>
      </w:pPr>
      <w:r>
        <w:rPr>
          <w:rFonts w:hint="eastAsia"/>
          <w:b w:val="0"/>
          <w:bCs/>
        </w:rPr>
        <w:t>其它应予说明的事项</w:t>
      </w:r>
    </w:p>
    <w:p w:rsidR="00E52152" w:rsidRDefault="007C4980">
      <w:pPr>
        <w:spacing w:line="360" w:lineRule="auto"/>
        <w:ind w:firstLineChars="200" w:firstLine="480"/>
        <w:rPr>
          <w:rFonts w:ascii="宋体" w:eastAsia="宋体" w:hAnsi="宋体" w:cs="宋体"/>
          <w:sz w:val="24"/>
        </w:rPr>
      </w:pPr>
      <w:r>
        <w:rPr>
          <w:rFonts w:ascii="宋体" w:eastAsia="宋体" w:hAnsi="宋体" w:cs="宋体" w:hint="eastAsia"/>
          <w:sz w:val="24"/>
        </w:rPr>
        <w:t>无。</w:t>
      </w:r>
    </w:p>
    <w:p w:rsidR="00E52152" w:rsidRDefault="00E52152"/>
    <w:sectPr w:rsidR="00E52152" w:rsidSect="00E521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980" w:rsidRDefault="007C4980" w:rsidP="006273D9">
      <w:r>
        <w:separator/>
      </w:r>
    </w:p>
  </w:endnote>
  <w:endnote w:type="continuationSeparator" w:id="0">
    <w:p w:rsidR="007C4980" w:rsidRDefault="007C4980" w:rsidP="006273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980" w:rsidRDefault="007C4980" w:rsidP="006273D9">
      <w:r>
        <w:separator/>
      </w:r>
    </w:p>
  </w:footnote>
  <w:footnote w:type="continuationSeparator" w:id="0">
    <w:p w:rsidR="007C4980" w:rsidRDefault="007C4980" w:rsidP="006273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A7384"/>
    <w:multiLevelType w:val="singleLevel"/>
    <w:tmpl w:val="356A7384"/>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mMwMDhmNmY4OWVmMzBjOGFhMDdmZjk5ZmMwNDkwMGUifQ=="/>
  </w:docVars>
  <w:rsids>
    <w:rsidRoot w:val="00E52152"/>
    <w:rsid w:val="006273D9"/>
    <w:rsid w:val="007C4980"/>
    <w:rsid w:val="00B0507A"/>
    <w:rsid w:val="00E52152"/>
    <w:rsid w:val="02210CBA"/>
    <w:rsid w:val="0480491C"/>
    <w:rsid w:val="07726F0F"/>
    <w:rsid w:val="09DA62EB"/>
    <w:rsid w:val="0FBE7878"/>
    <w:rsid w:val="0FC92E10"/>
    <w:rsid w:val="102C76B3"/>
    <w:rsid w:val="13E176C8"/>
    <w:rsid w:val="14177FCA"/>
    <w:rsid w:val="14D1305C"/>
    <w:rsid w:val="18D57D7B"/>
    <w:rsid w:val="225C17EC"/>
    <w:rsid w:val="23072975"/>
    <w:rsid w:val="245F3AFB"/>
    <w:rsid w:val="2D7D7A51"/>
    <w:rsid w:val="31EA1BD5"/>
    <w:rsid w:val="32C20536"/>
    <w:rsid w:val="3AA07AF6"/>
    <w:rsid w:val="3BF2509E"/>
    <w:rsid w:val="463F67FE"/>
    <w:rsid w:val="4A100086"/>
    <w:rsid w:val="52255732"/>
    <w:rsid w:val="5EE914C3"/>
    <w:rsid w:val="68C434AC"/>
    <w:rsid w:val="69616AEF"/>
    <w:rsid w:val="7B031D58"/>
    <w:rsid w:val="7EC32874"/>
    <w:rsid w:val="7ED42DFF"/>
    <w:rsid w:val="7F7616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E52152"/>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E52152"/>
    <w:pPr>
      <w:keepNext/>
      <w:keepLines/>
      <w:spacing w:line="576" w:lineRule="auto"/>
      <w:outlineLvl w:val="0"/>
    </w:pPr>
    <w:rPr>
      <w:b/>
      <w:kern w:val="44"/>
      <w:sz w:val="44"/>
    </w:rPr>
  </w:style>
  <w:style w:type="paragraph" w:styleId="2">
    <w:name w:val="heading 2"/>
    <w:basedOn w:val="a"/>
    <w:next w:val="a"/>
    <w:unhideWhenUsed/>
    <w:qFormat/>
    <w:rsid w:val="00E52152"/>
    <w:pPr>
      <w:keepNext/>
      <w:keepLines/>
      <w:spacing w:line="413" w:lineRule="auto"/>
      <w:outlineLvl w:val="1"/>
    </w:pPr>
    <w:rPr>
      <w:rFonts w:ascii="Arial" w:eastAsia="黑体" w:hAnsi="Arial"/>
      <w:b/>
      <w:sz w:val="32"/>
    </w:rPr>
  </w:style>
  <w:style w:type="paragraph" w:styleId="3">
    <w:name w:val="heading 3"/>
    <w:basedOn w:val="a"/>
    <w:next w:val="a"/>
    <w:unhideWhenUsed/>
    <w:qFormat/>
    <w:rsid w:val="00E52152"/>
    <w:pPr>
      <w:keepNext/>
      <w:keepLines/>
      <w:spacing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E52152"/>
    <w:pPr>
      <w:widowControl/>
      <w:overflowPunct w:val="0"/>
      <w:autoSpaceDE w:val="0"/>
      <w:autoSpaceDN w:val="0"/>
      <w:adjustRightInd w:val="0"/>
      <w:spacing w:line="360" w:lineRule="auto"/>
      <w:ind w:firstLineChars="200" w:firstLine="1680"/>
      <w:jc w:val="left"/>
      <w:textAlignment w:val="baseline"/>
    </w:pPr>
    <w:rPr>
      <w:rFonts w:ascii="Book Antiqua" w:eastAsia="宋体" w:hAnsi="Book Antiqua" w:cs="Times New Roman"/>
      <w:kern w:val="0"/>
      <w:sz w:val="24"/>
      <w:szCs w:val="20"/>
    </w:rPr>
  </w:style>
  <w:style w:type="table" w:styleId="a4">
    <w:name w:val="Table Grid"/>
    <w:basedOn w:val="a2"/>
    <w:qFormat/>
    <w:rsid w:val="00E5215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段"/>
    <w:qFormat/>
    <w:rsid w:val="00E52152"/>
    <w:pPr>
      <w:tabs>
        <w:tab w:val="center" w:pos="4201"/>
        <w:tab w:val="right" w:leader="dot" w:pos="9298"/>
      </w:tabs>
      <w:autoSpaceDE w:val="0"/>
      <w:autoSpaceDN w:val="0"/>
      <w:ind w:firstLineChars="200" w:firstLine="420"/>
      <w:jc w:val="both"/>
    </w:pPr>
    <w:rPr>
      <w:rFonts w:ascii="宋体"/>
      <w:sz w:val="21"/>
    </w:rPr>
  </w:style>
  <w:style w:type="paragraph" w:styleId="a6">
    <w:name w:val="header"/>
    <w:basedOn w:val="a"/>
    <w:link w:val="Char"/>
    <w:rsid w:val="006273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6273D9"/>
    <w:rPr>
      <w:rFonts w:asciiTheme="minorHAnsi" w:eastAsiaTheme="minorEastAsia" w:hAnsiTheme="minorHAnsi" w:cstheme="minorBidi"/>
      <w:kern w:val="2"/>
      <w:sz w:val="18"/>
      <w:szCs w:val="18"/>
    </w:rPr>
  </w:style>
  <w:style w:type="paragraph" w:styleId="a7">
    <w:name w:val="footer"/>
    <w:basedOn w:val="a"/>
    <w:link w:val="Char0"/>
    <w:rsid w:val="006273D9"/>
    <w:pPr>
      <w:tabs>
        <w:tab w:val="center" w:pos="4153"/>
        <w:tab w:val="right" w:pos="8306"/>
      </w:tabs>
      <w:snapToGrid w:val="0"/>
      <w:jc w:val="left"/>
    </w:pPr>
    <w:rPr>
      <w:sz w:val="18"/>
      <w:szCs w:val="18"/>
    </w:rPr>
  </w:style>
  <w:style w:type="character" w:customStyle="1" w:styleId="Char0">
    <w:name w:val="页脚 Char"/>
    <w:basedOn w:val="a1"/>
    <w:link w:val="a7"/>
    <w:rsid w:val="006273D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501</Words>
  <Characters>2858</Characters>
  <Application>Microsoft Office Word</Application>
  <DocSecurity>0</DocSecurity>
  <Lines>23</Lines>
  <Paragraphs>6</Paragraphs>
  <ScaleCrop>false</ScaleCrop>
  <Company/>
  <LinksUpToDate>false</LinksUpToDate>
  <CharactersWithSpaces>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yangj</dc:creator>
  <cp:lastModifiedBy>dpl</cp:lastModifiedBy>
  <cp:revision>2</cp:revision>
  <dcterms:created xsi:type="dcterms:W3CDTF">2022-04-06T00:46:00Z</dcterms:created>
  <dcterms:modified xsi:type="dcterms:W3CDTF">2022-09-05T01:58:00Z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908938980E744245B2B41FD91FD5D8D3</vt:lpwstr>
  </property>
</Properties>
</file>