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cs="微软雅黑" w:asciiTheme="minorEastAsia" w:hAnsiTheme="minorEastAsia"/>
          <w:b/>
          <w:sz w:val="24"/>
          <w:szCs w:val="24"/>
        </w:rPr>
      </w:pPr>
      <w:bookmarkStart w:id="0" w:name="_Toc46351173"/>
      <w:r>
        <w:rPr>
          <w:rFonts w:hint="eastAsia" w:cs="微软雅黑" w:asciiTheme="minorEastAsia" w:hAnsiTheme="minorEastAsia"/>
          <w:b/>
          <w:sz w:val="24"/>
          <w:szCs w:val="24"/>
        </w:rPr>
        <w:t>附件</w:t>
      </w:r>
      <w:r>
        <w:rPr>
          <w:rFonts w:hint="eastAsia" w:cs="微软雅黑" w:asciiTheme="minorEastAsia" w:hAnsiTheme="minorEastAsia"/>
          <w:b/>
          <w:sz w:val="24"/>
          <w:szCs w:val="24"/>
          <w:lang w:val="en-US" w:eastAsia="zh-CN"/>
        </w:rPr>
        <w:t>二</w:t>
      </w:r>
      <w:r>
        <w:rPr>
          <w:rFonts w:hint="eastAsia" w:cs="微软雅黑" w:asciiTheme="minorEastAsia" w:hAnsiTheme="minorEastAsia"/>
          <w:b/>
          <w:sz w:val="24"/>
          <w:szCs w:val="24"/>
        </w:rPr>
        <w:t>：</w:t>
      </w:r>
    </w:p>
    <w:p>
      <w:pPr>
        <w:spacing w:line="360" w:lineRule="auto"/>
        <w:jc w:val="center"/>
        <w:rPr>
          <w:rFonts w:cs="微软雅黑" w:asciiTheme="minorEastAsia" w:hAnsiTheme="minorEastAsia"/>
          <w:sz w:val="32"/>
          <w:szCs w:val="32"/>
        </w:rPr>
      </w:pPr>
      <w:bookmarkStart w:id="11" w:name="_GoBack"/>
      <w:bookmarkEnd w:id="11"/>
    </w:p>
    <w:p>
      <w:pPr>
        <w:spacing w:line="360" w:lineRule="auto"/>
        <w:jc w:val="center"/>
        <w:rPr>
          <w:rFonts w:cs="微软雅黑" w:asciiTheme="minorEastAsia" w:hAnsiTheme="minorEastAsia"/>
          <w:sz w:val="32"/>
          <w:szCs w:val="32"/>
        </w:rPr>
      </w:pPr>
    </w:p>
    <w:p>
      <w:pPr>
        <w:spacing w:line="360" w:lineRule="auto"/>
        <w:jc w:val="center"/>
        <w:rPr>
          <w:rFonts w:cs="微软雅黑" w:asciiTheme="minorEastAsia" w:hAnsiTheme="minorEastAsia"/>
          <w:b/>
          <w:sz w:val="32"/>
          <w:szCs w:val="32"/>
        </w:rPr>
      </w:pPr>
    </w:p>
    <w:p>
      <w:pPr>
        <w:spacing w:line="360" w:lineRule="auto"/>
        <w:jc w:val="center"/>
        <w:rPr>
          <w:rFonts w:asciiTheme="minorEastAsia" w:hAnsiTheme="minorEastAsia"/>
          <w:b/>
          <w:sz w:val="32"/>
          <w:szCs w:val="32"/>
        </w:rPr>
      </w:pPr>
      <w:r>
        <w:rPr>
          <w:rFonts w:hint="eastAsia" w:cs="微软雅黑" w:asciiTheme="minorEastAsia" w:hAnsiTheme="minorEastAsia"/>
          <w:b/>
          <w:sz w:val="32"/>
          <w:szCs w:val="32"/>
        </w:rPr>
        <w:t>中国金属</w:t>
      </w:r>
      <w:r>
        <w:rPr>
          <w:rFonts w:hint="eastAsia" w:cs="微软雅黑" w:asciiTheme="minorEastAsia" w:hAnsiTheme="minorEastAsia"/>
          <w:b/>
          <w:sz w:val="32"/>
          <w:szCs w:val="32"/>
          <w:lang w:val="en-US" w:eastAsia="zh-CN"/>
        </w:rPr>
        <w:t>学</w:t>
      </w:r>
      <w:r>
        <w:rPr>
          <w:rFonts w:hint="eastAsia" w:cs="微软雅黑" w:asciiTheme="minorEastAsia" w:hAnsiTheme="minorEastAsia"/>
          <w:b/>
          <w:sz w:val="32"/>
          <w:szCs w:val="32"/>
        </w:rPr>
        <w:t>会团体标准</w:t>
      </w:r>
    </w:p>
    <w:p>
      <w:pPr>
        <w:spacing w:line="360" w:lineRule="auto"/>
        <w:jc w:val="center"/>
        <w:rPr>
          <w:rFonts w:asciiTheme="minorEastAsia" w:hAnsiTheme="minorEastAsia"/>
          <w:b/>
          <w:sz w:val="32"/>
          <w:szCs w:val="32"/>
        </w:rPr>
      </w:pPr>
      <w:r>
        <w:rPr>
          <w:rFonts w:hint="eastAsia" w:asciiTheme="minorEastAsia" w:hAnsiTheme="minorEastAsia"/>
          <w:b/>
          <w:sz w:val="32"/>
          <w:szCs w:val="32"/>
        </w:rPr>
        <w:t>《</w:t>
      </w:r>
      <w:r>
        <w:rPr>
          <w:rFonts w:hint="eastAsia" w:cs="微软雅黑" w:asciiTheme="minorEastAsia" w:hAnsiTheme="minorEastAsia"/>
          <w:b/>
          <w:sz w:val="32"/>
          <w:szCs w:val="32"/>
        </w:rPr>
        <w:t>高炉炼铁变压吸附供氧技术要求</w:t>
      </w:r>
      <w:r>
        <w:rPr>
          <w:rFonts w:hint="eastAsia" w:asciiTheme="minorEastAsia" w:hAnsiTheme="minorEastAsia"/>
          <w:b/>
          <w:sz w:val="32"/>
          <w:szCs w:val="32"/>
        </w:rPr>
        <w:t>》</w:t>
      </w:r>
    </w:p>
    <w:p>
      <w:pPr>
        <w:spacing w:line="360" w:lineRule="auto"/>
        <w:jc w:val="center"/>
        <w:rPr>
          <w:rFonts w:asciiTheme="minorEastAsia" w:hAnsiTheme="minorEastAsia"/>
          <w:b/>
          <w:sz w:val="32"/>
          <w:szCs w:val="32"/>
        </w:rPr>
      </w:pPr>
      <w:r>
        <w:rPr>
          <w:rFonts w:hint="eastAsia" w:cs="微软雅黑" w:asciiTheme="minorEastAsia" w:hAnsiTheme="minorEastAsia"/>
          <w:b/>
          <w:sz w:val="32"/>
          <w:szCs w:val="32"/>
        </w:rPr>
        <w:t>编制说明</w:t>
      </w:r>
    </w:p>
    <w:p>
      <w:pPr>
        <w:spacing w:line="360" w:lineRule="auto"/>
        <w:jc w:val="center"/>
        <w:rPr>
          <w:rFonts w:asciiTheme="minorEastAsia" w:hAnsiTheme="minorEastAsia"/>
          <w:b/>
          <w:sz w:val="32"/>
          <w:szCs w:val="32"/>
        </w:rPr>
      </w:pPr>
    </w:p>
    <w:p>
      <w:pPr>
        <w:spacing w:line="360" w:lineRule="auto"/>
        <w:rPr>
          <w:rFonts w:asciiTheme="minorEastAsia" w:hAnsiTheme="minorEastAsia"/>
          <w:b/>
          <w:sz w:val="32"/>
          <w:szCs w:val="32"/>
        </w:rPr>
      </w:pPr>
    </w:p>
    <w:p>
      <w:pPr>
        <w:spacing w:line="360" w:lineRule="auto"/>
        <w:jc w:val="center"/>
        <w:rPr>
          <w:rFonts w:asciiTheme="minorEastAsia" w:hAnsiTheme="minorEastAsia"/>
          <w:b/>
          <w:sz w:val="32"/>
          <w:szCs w:val="32"/>
        </w:rPr>
      </w:pPr>
    </w:p>
    <w:p>
      <w:pPr>
        <w:spacing w:line="360" w:lineRule="auto"/>
        <w:jc w:val="center"/>
        <w:rPr>
          <w:rFonts w:asciiTheme="minorEastAsia" w:hAnsiTheme="minorEastAsia"/>
          <w:b/>
          <w:sz w:val="32"/>
          <w:szCs w:val="32"/>
        </w:rPr>
      </w:pPr>
    </w:p>
    <w:p>
      <w:pPr>
        <w:spacing w:line="360" w:lineRule="auto"/>
        <w:jc w:val="center"/>
        <w:rPr>
          <w:rFonts w:asciiTheme="minorEastAsia" w:hAnsiTheme="minorEastAsia"/>
          <w:b/>
          <w:sz w:val="32"/>
          <w:szCs w:val="32"/>
        </w:rPr>
      </w:pPr>
    </w:p>
    <w:p>
      <w:pPr>
        <w:spacing w:line="360" w:lineRule="auto"/>
        <w:jc w:val="center"/>
        <w:rPr>
          <w:rFonts w:asciiTheme="minorEastAsia" w:hAnsiTheme="minorEastAsia"/>
          <w:b/>
          <w:sz w:val="32"/>
          <w:szCs w:val="32"/>
        </w:rPr>
      </w:pPr>
    </w:p>
    <w:p>
      <w:pPr>
        <w:spacing w:line="360" w:lineRule="auto"/>
        <w:jc w:val="center"/>
        <w:rPr>
          <w:rFonts w:asciiTheme="minorEastAsia" w:hAnsiTheme="minorEastAsia"/>
          <w:b/>
          <w:sz w:val="32"/>
          <w:szCs w:val="32"/>
        </w:rPr>
      </w:pPr>
    </w:p>
    <w:p>
      <w:pPr>
        <w:spacing w:line="360" w:lineRule="auto"/>
        <w:jc w:val="center"/>
        <w:rPr>
          <w:rFonts w:asciiTheme="minorEastAsia" w:hAnsiTheme="minorEastAsia"/>
          <w:b/>
          <w:sz w:val="32"/>
          <w:szCs w:val="32"/>
        </w:rPr>
      </w:pPr>
    </w:p>
    <w:p>
      <w:pPr>
        <w:spacing w:line="360" w:lineRule="auto"/>
        <w:jc w:val="center"/>
        <w:rPr>
          <w:rFonts w:asciiTheme="minorEastAsia" w:hAnsiTheme="minorEastAsia"/>
          <w:b/>
          <w:sz w:val="32"/>
          <w:szCs w:val="32"/>
        </w:rPr>
      </w:pPr>
    </w:p>
    <w:p>
      <w:pPr>
        <w:spacing w:line="360" w:lineRule="auto"/>
        <w:jc w:val="center"/>
        <w:rPr>
          <w:rFonts w:asciiTheme="minorEastAsia" w:hAnsiTheme="minorEastAsia"/>
          <w:b/>
          <w:sz w:val="32"/>
          <w:szCs w:val="32"/>
        </w:rPr>
      </w:pPr>
    </w:p>
    <w:p>
      <w:pPr>
        <w:spacing w:line="360" w:lineRule="auto"/>
        <w:jc w:val="center"/>
        <w:rPr>
          <w:rFonts w:asciiTheme="minorEastAsia" w:hAnsiTheme="minorEastAsia"/>
          <w:b/>
          <w:sz w:val="32"/>
          <w:szCs w:val="32"/>
        </w:rPr>
      </w:pPr>
    </w:p>
    <w:p>
      <w:pPr>
        <w:spacing w:line="360" w:lineRule="auto"/>
        <w:jc w:val="center"/>
        <w:rPr>
          <w:rFonts w:asciiTheme="minorEastAsia" w:hAnsiTheme="minorEastAsia"/>
          <w:b/>
          <w:sz w:val="32"/>
          <w:szCs w:val="32"/>
        </w:rPr>
      </w:pPr>
    </w:p>
    <w:p>
      <w:pPr>
        <w:spacing w:line="360" w:lineRule="auto"/>
        <w:jc w:val="center"/>
        <w:rPr>
          <w:rFonts w:asciiTheme="minorEastAsia" w:hAnsiTheme="minorEastAsia"/>
          <w:b/>
          <w:sz w:val="32"/>
          <w:szCs w:val="32"/>
        </w:rPr>
      </w:pPr>
      <w:r>
        <w:rPr>
          <w:rFonts w:hint="eastAsia" w:asciiTheme="minorEastAsia" w:hAnsiTheme="minorEastAsia"/>
          <w:b/>
          <w:sz w:val="32"/>
          <w:szCs w:val="32"/>
        </w:rPr>
        <w:t>20</w:t>
      </w:r>
      <w:r>
        <w:rPr>
          <w:rFonts w:asciiTheme="minorEastAsia" w:hAnsiTheme="minorEastAsia"/>
          <w:b/>
          <w:sz w:val="32"/>
          <w:szCs w:val="32"/>
        </w:rPr>
        <w:t>21</w:t>
      </w:r>
      <w:r>
        <w:rPr>
          <w:rFonts w:hint="eastAsia" w:asciiTheme="minorEastAsia" w:hAnsiTheme="minorEastAsia"/>
          <w:b/>
          <w:sz w:val="32"/>
          <w:szCs w:val="32"/>
        </w:rPr>
        <w:t>年12月</w:t>
      </w:r>
    </w:p>
    <w:p>
      <w:pPr>
        <w:spacing w:line="360" w:lineRule="auto"/>
        <w:outlineLvl w:val="0"/>
        <w:rPr>
          <w:rFonts w:asciiTheme="minorEastAsia" w:hAnsiTheme="minorEastAsia"/>
          <w:b/>
          <w:sz w:val="28"/>
          <w:szCs w:val="28"/>
        </w:rPr>
      </w:pPr>
    </w:p>
    <w:p>
      <w:pPr>
        <w:spacing w:line="360" w:lineRule="auto"/>
        <w:outlineLvl w:val="0"/>
        <w:rPr>
          <w:rFonts w:asciiTheme="minorEastAsia" w:hAnsiTheme="minorEastAsia"/>
          <w:b/>
          <w:sz w:val="28"/>
          <w:szCs w:val="28"/>
        </w:rPr>
      </w:pPr>
    </w:p>
    <w:p>
      <w:pPr>
        <w:spacing w:line="360" w:lineRule="auto"/>
        <w:outlineLvl w:val="0"/>
        <w:rPr>
          <w:rFonts w:asciiTheme="minorEastAsia" w:hAnsiTheme="minorEastAsia"/>
          <w:b/>
          <w:sz w:val="28"/>
          <w:szCs w:val="28"/>
        </w:rPr>
      </w:pPr>
      <w:r>
        <w:rPr>
          <w:rFonts w:hint="eastAsia" w:asciiTheme="minorEastAsia" w:hAnsiTheme="minorEastAsia"/>
          <w:b/>
          <w:sz w:val="28"/>
          <w:szCs w:val="28"/>
        </w:rPr>
        <w:t>一 、工作概况</w:t>
      </w:r>
      <w:bookmarkEnd w:id="0"/>
    </w:p>
    <w:p>
      <w:pPr>
        <w:pStyle w:val="12"/>
        <w:spacing w:line="360" w:lineRule="auto"/>
        <w:ind w:left="357" w:firstLine="0" w:firstLineChars="0"/>
        <w:outlineLvl w:val="1"/>
        <w:rPr>
          <w:rFonts w:asciiTheme="minorEastAsia" w:hAnsiTheme="minorEastAsia"/>
          <w:b/>
          <w:sz w:val="24"/>
          <w:szCs w:val="24"/>
        </w:rPr>
      </w:pPr>
      <w:bookmarkStart w:id="1" w:name="_Toc46351174"/>
      <w:r>
        <w:rPr>
          <w:rFonts w:hint="eastAsia" w:asciiTheme="minorEastAsia" w:hAnsiTheme="minorEastAsia"/>
          <w:b/>
          <w:sz w:val="24"/>
          <w:szCs w:val="24"/>
        </w:rPr>
        <w:t>1、任务来源</w:t>
      </w:r>
      <w:bookmarkEnd w:id="1"/>
    </w:p>
    <w:p>
      <w:pPr>
        <w:pStyle w:val="16"/>
        <w:tabs>
          <w:tab w:val="left" w:pos="567"/>
        </w:tabs>
        <w:spacing w:after="240" w:line="360" w:lineRule="auto"/>
        <w:ind w:left="-2" w:leftChars="-1" w:firstLine="480" w:firstLineChars="200"/>
        <w:rPr>
          <w:rFonts w:cs="宋体" w:asciiTheme="minorEastAsia" w:hAnsiTheme="minorEastAsia" w:eastAsiaTheme="minorEastAsia"/>
        </w:rPr>
      </w:pPr>
      <w:r>
        <w:rPr>
          <w:rFonts w:hint="eastAsia" w:cs="宋体" w:asciiTheme="minorEastAsia" w:hAnsiTheme="minorEastAsia" w:eastAsiaTheme="minorEastAsia"/>
        </w:rPr>
        <w:t>根据目前国内市场的需求以及变压吸附制氧设备在炼铁中应用的发展状况，经中国金属学会标准化工作委员会批准立项编制《高炉炼铁变压吸附供氧技术要求》团体标准。</w:t>
      </w:r>
    </w:p>
    <w:p>
      <w:pPr>
        <w:pStyle w:val="12"/>
        <w:spacing w:line="360" w:lineRule="auto"/>
        <w:ind w:left="357" w:firstLine="0" w:firstLineChars="0"/>
        <w:outlineLvl w:val="1"/>
        <w:rPr>
          <w:rFonts w:asciiTheme="minorEastAsia" w:hAnsiTheme="minorEastAsia"/>
          <w:b/>
          <w:sz w:val="24"/>
          <w:szCs w:val="24"/>
        </w:rPr>
      </w:pPr>
      <w:bookmarkStart w:id="2" w:name="_Toc46351175"/>
      <w:r>
        <w:rPr>
          <w:rFonts w:hint="eastAsia" w:asciiTheme="minorEastAsia" w:hAnsiTheme="minorEastAsia"/>
          <w:b/>
          <w:sz w:val="24"/>
          <w:szCs w:val="24"/>
        </w:rPr>
        <w:t>2、</w:t>
      </w:r>
      <w:bookmarkEnd w:id="2"/>
      <w:r>
        <w:rPr>
          <w:rFonts w:hint="eastAsia" w:asciiTheme="minorEastAsia" w:hAnsiTheme="minorEastAsia"/>
          <w:b/>
          <w:sz w:val="24"/>
          <w:szCs w:val="24"/>
        </w:rPr>
        <w:t>主要参加单位和工作组成员：</w:t>
      </w:r>
    </w:p>
    <w:p>
      <w:pPr>
        <w:spacing w:line="360" w:lineRule="auto"/>
        <w:ind w:firstLine="484" w:firstLineChars="202"/>
        <w:rPr>
          <w:rFonts w:ascii="宋体" w:hAnsi="宋体"/>
          <w:color w:val="FF0000"/>
          <w:sz w:val="24"/>
        </w:rPr>
      </w:pPr>
      <w:bookmarkStart w:id="3" w:name="_Toc46351176"/>
      <w:r>
        <w:rPr>
          <w:rFonts w:hint="eastAsia" w:ascii="宋体" w:hAnsi="宋体"/>
          <w:color w:val="FF0000"/>
          <w:sz w:val="24"/>
        </w:rPr>
        <w:t>本标准由起草。</w:t>
      </w:r>
    </w:p>
    <w:p>
      <w:pPr>
        <w:spacing w:line="360" w:lineRule="auto"/>
        <w:ind w:firstLine="484" w:firstLineChars="202"/>
        <w:rPr>
          <w:rFonts w:ascii="宋体" w:hAnsi="宋体"/>
          <w:sz w:val="24"/>
        </w:rPr>
      </w:pPr>
      <w:r>
        <w:rPr>
          <w:rFonts w:hint="eastAsia" w:ascii="宋体" w:hAnsi="宋体"/>
          <w:color w:val="FF0000"/>
          <w:sz w:val="24"/>
        </w:rPr>
        <w:t>主要成员：</w:t>
      </w:r>
      <w:r>
        <w:rPr>
          <w:rFonts w:ascii="宋体" w:hAnsi="宋体"/>
          <w:sz w:val="24"/>
        </w:rPr>
        <w:t xml:space="preserve"> </w:t>
      </w:r>
    </w:p>
    <w:p>
      <w:pPr>
        <w:pStyle w:val="12"/>
        <w:spacing w:line="360" w:lineRule="auto"/>
        <w:ind w:left="357" w:firstLine="0" w:firstLineChars="0"/>
        <w:outlineLvl w:val="1"/>
        <w:rPr>
          <w:rFonts w:asciiTheme="minorEastAsia" w:hAnsiTheme="minorEastAsia"/>
          <w:b/>
          <w:sz w:val="24"/>
          <w:szCs w:val="24"/>
        </w:rPr>
      </w:pPr>
      <w:r>
        <w:rPr>
          <w:rFonts w:hint="eastAsia" w:asciiTheme="minorEastAsia" w:hAnsiTheme="minorEastAsia"/>
          <w:b/>
          <w:sz w:val="24"/>
          <w:szCs w:val="24"/>
        </w:rPr>
        <w:t>3、主要工作过程</w:t>
      </w:r>
      <w:bookmarkEnd w:id="3"/>
    </w:p>
    <w:p>
      <w:pPr>
        <w:spacing w:after="240" w:line="360" w:lineRule="auto"/>
        <w:ind w:firstLine="480" w:firstLineChars="200"/>
        <w:rPr>
          <w:rFonts w:cs="宋体" w:asciiTheme="minorEastAsia" w:hAnsiTheme="minorEastAsia"/>
          <w:kern w:val="0"/>
          <w:sz w:val="24"/>
          <w:szCs w:val="24"/>
        </w:rPr>
      </w:pPr>
      <w:r>
        <w:rPr>
          <w:rFonts w:hint="eastAsia" w:cs="宋体" w:asciiTheme="minorEastAsia" w:hAnsiTheme="minorEastAsia"/>
          <w:kern w:val="0"/>
          <w:sz w:val="24"/>
          <w:szCs w:val="24"/>
        </w:rPr>
        <w:t>起草(草案、调研)阶段：202</w:t>
      </w:r>
      <w:r>
        <w:rPr>
          <w:rFonts w:cs="宋体" w:asciiTheme="minorEastAsia" w:hAnsiTheme="minorEastAsia"/>
          <w:kern w:val="0"/>
          <w:sz w:val="24"/>
          <w:szCs w:val="24"/>
        </w:rPr>
        <w:t>1</w:t>
      </w:r>
      <w:r>
        <w:rPr>
          <w:rFonts w:hint="eastAsia" w:cs="宋体" w:asciiTheme="minorEastAsia" w:hAnsiTheme="minorEastAsia"/>
          <w:kern w:val="0"/>
          <w:sz w:val="24"/>
          <w:szCs w:val="24"/>
        </w:rPr>
        <w:t>.</w:t>
      </w:r>
      <w:r>
        <w:rPr>
          <w:rFonts w:cs="宋体" w:asciiTheme="minorEastAsia" w:hAnsiTheme="minorEastAsia"/>
          <w:kern w:val="0"/>
          <w:sz w:val="24"/>
          <w:szCs w:val="24"/>
        </w:rPr>
        <w:t>9</w:t>
      </w:r>
      <w:r>
        <w:rPr>
          <w:rFonts w:hint="eastAsia" w:cs="宋体" w:asciiTheme="minorEastAsia" w:hAnsiTheme="minorEastAsia"/>
          <w:kern w:val="0"/>
          <w:sz w:val="24"/>
          <w:szCs w:val="24"/>
        </w:rPr>
        <w:t>.3</w:t>
      </w:r>
      <w:r>
        <w:rPr>
          <w:rFonts w:cs="宋体" w:asciiTheme="minorEastAsia" w:hAnsiTheme="minorEastAsia"/>
          <w:kern w:val="0"/>
          <w:sz w:val="24"/>
          <w:szCs w:val="24"/>
        </w:rPr>
        <w:t>0</w:t>
      </w:r>
      <w:r>
        <w:rPr>
          <w:rFonts w:ascii="Times New Roman" w:hAnsi="Times New Roman" w:cs="Times New Roman"/>
          <w:kern w:val="0"/>
          <w:sz w:val="24"/>
          <w:szCs w:val="24"/>
        </w:rPr>
        <w:t>~</w:t>
      </w:r>
      <w:r>
        <w:rPr>
          <w:rFonts w:hint="eastAsia" w:cs="宋体" w:asciiTheme="minorEastAsia" w:hAnsiTheme="minorEastAsia"/>
          <w:kern w:val="0"/>
          <w:sz w:val="24"/>
          <w:szCs w:val="24"/>
        </w:rPr>
        <w:t>202</w:t>
      </w:r>
      <w:r>
        <w:rPr>
          <w:rFonts w:cs="宋体" w:asciiTheme="minorEastAsia" w:hAnsiTheme="minorEastAsia"/>
          <w:kern w:val="0"/>
          <w:sz w:val="24"/>
          <w:szCs w:val="24"/>
        </w:rPr>
        <w:t>1</w:t>
      </w:r>
      <w:r>
        <w:rPr>
          <w:rFonts w:hint="eastAsia" w:cs="宋体" w:asciiTheme="minorEastAsia" w:hAnsiTheme="minorEastAsia"/>
          <w:kern w:val="0"/>
          <w:sz w:val="24"/>
          <w:szCs w:val="24"/>
        </w:rPr>
        <w:t>.12.31。本标准牵头单位组织人员查阅相关资料、调研等前期工作，于202</w:t>
      </w:r>
      <w:r>
        <w:rPr>
          <w:rFonts w:cs="宋体" w:asciiTheme="minorEastAsia" w:hAnsiTheme="minorEastAsia"/>
          <w:kern w:val="0"/>
          <w:sz w:val="24"/>
          <w:szCs w:val="24"/>
        </w:rPr>
        <w:t>1</w:t>
      </w:r>
      <w:r>
        <w:rPr>
          <w:rFonts w:hint="eastAsia" w:cs="宋体" w:asciiTheme="minorEastAsia" w:hAnsiTheme="minorEastAsia"/>
          <w:kern w:val="0"/>
          <w:sz w:val="24"/>
          <w:szCs w:val="24"/>
        </w:rPr>
        <w:t>年1</w:t>
      </w:r>
      <w:r>
        <w:rPr>
          <w:rFonts w:cs="宋体" w:asciiTheme="minorEastAsia" w:hAnsiTheme="minorEastAsia"/>
          <w:kern w:val="0"/>
          <w:sz w:val="24"/>
          <w:szCs w:val="24"/>
        </w:rPr>
        <w:t>2</w:t>
      </w:r>
      <w:r>
        <w:rPr>
          <w:rFonts w:hint="eastAsia" w:cs="宋体" w:asciiTheme="minorEastAsia" w:hAnsiTheme="minorEastAsia"/>
          <w:kern w:val="0"/>
          <w:sz w:val="24"/>
          <w:szCs w:val="24"/>
        </w:rPr>
        <w:t>月完成讨论稿的编写。</w:t>
      </w:r>
    </w:p>
    <w:p>
      <w:pPr>
        <w:spacing w:after="240" w:line="360" w:lineRule="auto"/>
        <w:outlineLvl w:val="0"/>
        <w:rPr>
          <w:rFonts w:asciiTheme="minorEastAsia" w:hAnsiTheme="minorEastAsia"/>
          <w:b/>
          <w:sz w:val="28"/>
          <w:szCs w:val="28"/>
        </w:rPr>
      </w:pPr>
      <w:bookmarkStart w:id="4" w:name="_Toc46351177"/>
      <w:r>
        <w:rPr>
          <w:rFonts w:hint="eastAsia" w:asciiTheme="minorEastAsia" w:hAnsiTheme="minorEastAsia"/>
          <w:b/>
          <w:sz w:val="28"/>
          <w:szCs w:val="28"/>
        </w:rPr>
        <w:t>二、 标准编制原则和确定标准主要内容的依据</w:t>
      </w:r>
      <w:bookmarkEnd w:id="4"/>
    </w:p>
    <w:p>
      <w:pPr>
        <w:spacing w:line="360" w:lineRule="auto"/>
        <w:ind w:firstLine="482" w:firstLineChars="200"/>
        <w:outlineLvl w:val="1"/>
        <w:rPr>
          <w:rFonts w:asciiTheme="minorEastAsia" w:hAnsiTheme="minorEastAsia"/>
          <w:b/>
          <w:sz w:val="24"/>
          <w:szCs w:val="24"/>
        </w:rPr>
      </w:pPr>
      <w:bookmarkStart w:id="5" w:name="_Toc46351178"/>
      <w:r>
        <w:rPr>
          <w:rFonts w:hint="eastAsia" w:asciiTheme="minorEastAsia" w:hAnsiTheme="minorEastAsia"/>
          <w:b/>
          <w:sz w:val="24"/>
          <w:szCs w:val="24"/>
        </w:rPr>
        <w:t>1、编制原则</w:t>
      </w:r>
      <w:bookmarkEnd w:id="5"/>
      <w:r>
        <w:rPr>
          <w:rFonts w:hint="eastAsia" w:asciiTheme="minorEastAsia" w:hAnsiTheme="minorEastAsia"/>
          <w:b/>
          <w:sz w:val="24"/>
          <w:szCs w:val="24"/>
        </w:rPr>
        <w:t>：</w:t>
      </w:r>
    </w:p>
    <w:p>
      <w:pPr>
        <w:spacing w:line="360" w:lineRule="auto"/>
        <w:rPr>
          <w:rFonts w:cs="Times New Roman" w:asciiTheme="minorEastAsia" w:hAnsiTheme="minorEastAsia"/>
          <w:sz w:val="24"/>
          <w:szCs w:val="24"/>
        </w:rPr>
      </w:pPr>
      <w:r>
        <w:rPr>
          <w:rFonts w:hint="eastAsia" w:cs="Times New Roman" w:asciiTheme="minorEastAsia" w:hAnsiTheme="minorEastAsia"/>
          <w:sz w:val="24"/>
          <w:szCs w:val="24"/>
        </w:rPr>
        <w:tab/>
      </w:r>
      <w:r>
        <w:rPr>
          <w:rFonts w:hint="eastAsia" w:cs="Times New Roman" w:asciiTheme="minorEastAsia" w:hAnsiTheme="minorEastAsia"/>
          <w:sz w:val="24"/>
          <w:szCs w:val="24"/>
        </w:rPr>
        <w:t>本标准的编制依据GB/T 1.1-20</w:t>
      </w:r>
      <w:r>
        <w:rPr>
          <w:rFonts w:cs="Times New Roman" w:asciiTheme="minorEastAsia" w:hAnsiTheme="minorEastAsia"/>
          <w:sz w:val="24"/>
          <w:szCs w:val="24"/>
        </w:rPr>
        <w:t>20</w:t>
      </w:r>
      <w:r>
        <w:rPr>
          <w:rFonts w:hint="eastAsia" w:cs="Times New Roman" w:asciiTheme="minorEastAsia" w:hAnsiTheme="minorEastAsia"/>
          <w:sz w:val="24"/>
          <w:szCs w:val="24"/>
        </w:rPr>
        <w:t>的规定进行编写。在确定主要技术指标时，综合考虑生产企业的能力和用户的利益，寻求更好的经济、社会效益，充分体现了标准在技术上的先进性和合理性。</w:t>
      </w:r>
    </w:p>
    <w:p>
      <w:pPr>
        <w:spacing w:line="360" w:lineRule="auto"/>
        <w:ind w:firstLine="482" w:firstLineChars="200"/>
        <w:outlineLvl w:val="1"/>
        <w:rPr>
          <w:rFonts w:asciiTheme="minorEastAsia" w:hAnsiTheme="minorEastAsia"/>
          <w:b/>
          <w:sz w:val="24"/>
          <w:szCs w:val="24"/>
        </w:rPr>
      </w:pPr>
      <w:bookmarkStart w:id="6" w:name="_Toc46351179"/>
      <w:r>
        <w:rPr>
          <w:rFonts w:hint="eastAsia" w:asciiTheme="minorEastAsia" w:hAnsiTheme="minorEastAsia"/>
          <w:b/>
          <w:sz w:val="24"/>
          <w:szCs w:val="24"/>
        </w:rPr>
        <w:t>2、主要内容</w:t>
      </w:r>
      <w:bookmarkEnd w:id="6"/>
      <w:r>
        <w:rPr>
          <w:rFonts w:hint="eastAsia" w:asciiTheme="minorEastAsia" w:hAnsiTheme="minorEastAsia"/>
          <w:b/>
          <w:sz w:val="24"/>
          <w:szCs w:val="24"/>
        </w:rPr>
        <w:t>：</w:t>
      </w:r>
    </w:p>
    <w:p>
      <w:pPr>
        <w:spacing w:line="360" w:lineRule="auto"/>
        <w:ind w:firstLine="480" w:firstLineChars="200"/>
        <w:outlineLvl w:val="1"/>
        <w:rPr>
          <w:rFonts w:asciiTheme="minorEastAsia" w:hAnsiTheme="minorEastAsia"/>
          <w:sz w:val="24"/>
          <w:szCs w:val="24"/>
        </w:rPr>
      </w:pPr>
      <w:r>
        <w:rPr>
          <w:rFonts w:hint="eastAsia" w:asciiTheme="minorEastAsia" w:hAnsiTheme="minorEastAsia"/>
          <w:sz w:val="24"/>
          <w:szCs w:val="24"/>
        </w:rPr>
        <w:t>2</w:t>
      </w:r>
      <w:r>
        <w:rPr>
          <w:rFonts w:asciiTheme="minorEastAsia" w:hAnsiTheme="minorEastAsia"/>
          <w:sz w:val="24"/>
          <w:szCs w:val="24"/>
        </w:rPr>
        <w:t xml:space="preserve">.1 </w:t>
      </w:r>
      <w:r>
        <w:rPr>
          <w:rFonts w:hint="eastAsia" w:cs="Times New Roman" w:asciiTheme="minorEastAsia" w:hAnsiTheme="minorEastAsia"/>
          <w:sz w:val="24"/>
          <w:szCs w:val="24"/>
        </w:rPr>
        <w:t>总则</w:t>
      </w:r>
    </w:p>
    <w:p>
      <w:pPr>
        <w:spacing w:line="360" w:lineRule="auto"/>
        <w:ind w:firstLine="360"/>
        <w:rPr>
          <w:rFonts w:asciiTheme="minorEastAsia" w:hAnsiTheme="minorEastAsia"/>
          <w:b/>
          <w:sz w:val="24"/>
          <w:szCs w:val="24"/>
        </w:rPr>
      </w:pPr>
      <w:r>
        <w:rPr>
          <w:rFonts w:hint="eastAsia" w:cs="Times New Roman" w:asciiTheme="minorEastAsia" w:hAnsiTheme="minorEastAsia"/>
          <w:sz w:val="24"/>
          <w:szCs w:val="24"/>
        </w:rPr>
        <w:t>高炉炼铁变压吸附供氧技术要求在国内尚无正式发布的标准，在实际产品的设计、制造及使用等过程中无规可循，不能从规范的角度提供强有力的支持和保障，制定本标准填补了该领域的标准空白。</w:t>
      </w:r>
    </w:p>
    <w:p>
      <w:pPr>
        <w:spacing w:line="360" w:lineRule="auto"/>
        <w:ind w:firstLine="480" w:firstLineChars="200"/>
        <w:outlineLvl w:val="1"/>
        <w:rPr>
          <w:rFonts w:asciiTheme="minorEastAsia" w:hAnsiTheme="minorEastAsia"/>
          <w:sz w:val="24"/>
          <w:szCs w:val="24"/>
        </w:rPr>
      </w:pPr>
      <w:bookmarkStart w:id="7" w:name="_Toc46351180"/>
      <w:r>
        <w:rPr>
          <w:rFonts w:hint="eastAsia" w:asciiTheme="minorEastAsia" w:hAnsiTheme="minorEastAsia"/>
          <w:sz w:val="24"/>
          <w:szCs w:val="24"/>
        </w:rPr>
        <w:t>2</w:t>
      </w:r>
      <w:r>
        <w:rPr>
          <w:rFonts w:asciiTheme="minorEastAsia" w:hAnsiTheme="minorEastAsia"/>
          <w:sz w:val="24"/>
          <w:szCs w:val="24"/>
        </w:rPr>
        <w:t>.</w:t>
      </w:r>
      <w:r>
        <w:rPr>
          <w:rFonts w:hint="eastAsia" w:asciiTheme="minorEastAsia" w:hAnsiTheme="minorEastAsia"/>
          <w:sz w:val="24"/>
          <w:szCs w:val="24"/>
        </w:rPr>
        <w:t>2</w:t>
      </w:r>
      <w:r>
        <w:rPr>
          <w:rFonts w:hint="eastAsia" w:cs="Times New Roman" w:asciiTheme="minorEastAsia" w:hAnsiTheme="minorEastAsia"/>
          <w:sz w:val="24"/>
          <w:szCs w:val="24"/>
        </w:rPr>
        <w:t>范围</w:t>
      </w:r>
      <w:bookmarkEnd w:id="7"/>
    </w:p>
    <w:p>
      <w:pPr>
        <w:spacing w:line="360" w:lineRule="auto"/>
        <w:ind w:firstLine="360"/>
        <w:rPr>
          <w:rFonts w:cs="Times New Roman" w:asciiTheme="minorEastAsia" w:hAnsiTheme="minorEastAsia"/>
          <w:sz w:val="24"/>
          <w:szCs w:val="24"/>
        </w:rPr>
      </w:pPr>
      <w:bookmarkStart w:id="8" w:name="_Toc46351181"/>
      <w:r>
        <w:rPr>
          <w:rFonts w:cs="Times New Roman" w:asciiTheme="minorEastAsia" w:hAnsiTheme="minorEastAsia"/>
          <w:sz w:val="24"/>
          <w:szCs w:val="24"/>
        </w:rPr>
        <w:t>本标准规定了变压吸附制氧技术应用于高炉炼铁中的术语和定义</w:t>
      </w:r>
      <w:r>
        <w:rPr>
          <w:rFonts w:hint="eastAsia" w:cs="Times New Roman" w:asciiTheme="minorEastAsia" w:hAnsiTheme="minorEastAsia"/>
          <w:sz w:val="24"/>
          <w:szCs w:val="24"/>
        </w:rPr>
        <w:t>、</w:t>
      </w:r>
      <w:r>
        <w:rPr>
          <w:rFonts w:cs="Times New Roman" w:asciiTheme="minorEastAsia" w:hAnsiTheme="minorEastAsia"/>
          <w:sz w:val="24"/>
          <w:szCs w:val="24"/>
        </w:rPr>
        <w:t>原理</w:t>
      </w:r>
      <w:r>
        <w:rPr>
          <w:rFonts w:hint="eastAsia" w:cs="Times New Roman" w:asciiTheme="minorEastAsia" w:hAnsiTheme="minorEastAsia"/>
          <w:sz w:val="24"/>
          <w:szCs w:val="24"/>
        </w:rPr>
        <w:t>与</w:t>
      </w:r>
      <w:r>
        <w:rPr>
          <w:rFonts w:cs="Times New Roman" w:asciiTheme="minorEastAsia" w:hAnsiTheme="minorEastAsia"/>
          <w:sz w:val="24"/>
          <w:szCs w:val="24"/>
        </w:rPr>
        <w:t>流程</w:t>
      </w:r>
      <w:r>
        <w:rPr>
          <w:rFonts w:hint="eastAsia" w:cs="Times New Roman" w:asciiTheme="minorEastAsia" w:hAnsiTheme="minorEastAsia"/>
          <w:sz w:val="24"/>
          <w:szCs w:val="24"/>
        </w:rPr>
        <w:t>、</w:t>
      </w:r>
      <w:r>
        <w:rPr>
          <w:rFonts w:cs="Times New Roman" w:asciiTheme="minorEastAsia" w:hAnsiTheme="minorEastAsia"/>
          <w:sz w:val="24"/>
          <w:szCs w:val="24"/>
        </w:rPr>
        <w:t>技术要求</w:t>
      </w:r>
      <w:r>
        <w:rPr>
          <w:rFonts w:hint="eastAsia" w:cs="Times New Roman" w:asciiTheme="minorEastAsia" w:hAnsiTheme="minorEastAsia"/>
          <w:sz w:val="24"/>
          <w:szCs w:val="24"/>
        </w:rPr>
        <w:t>、基本</w:t>
      </w:r>
      <w:r>
        <w:rPr>
          <w:rFonts w:cs="Times New Roman" w:asciiTheme="minorEastAsia" w:hAnsiTheme="minorEastAsia"/>
          <w:sz w:val="24"/>
          <w:szCs w:val="24"/>
        </w:rPr>
        <w:t>操作与</w:t>
      </w:r>
      <w:r>
        <w:rPr>
          <w:rFonts w:hint="eastAsia" w:cs="Times New Roman" w:asciiTheme="minorEastAsia" w:hAnsiTheme="minorEastAsia"/>
          <w:sz w:val="24"/>
          <w:szCs w:val="24"/>
        </w:rPr>
        <w:t>安全</w:t>
      </w:r>
      <w:r>
        <w:rPr>
          <w:rFonts w:cs="Times New Roman" w:asciiTheme="minorEastAsia" w:hAnsiTheme="minorEastAsia"/>
          <w:sz w:val="24"/>
          <w:szCs w:val="24"/>
        </w:rPr>
        <w:t>防护</w:t>
      </w:r>
      <w:r>
        <w:rPr>
          <w:rFonts w:hint="eastAsia" w:cs="Times New Roman" w:asciiTheme="minorEastAsia" w:hAnsiTheme="minorEastAsia"/>
          <w:sz w:val="24"/>
          <w:szCs w:val="24"/>
        </w:rPr>
        <w:t>，</w:t>
      </w:r>
      <w:r>
        <w:rPr>
          <w:rFonts w:cs="Times New Roman" w:asciiTheme="minorEastAsia" w:hAnsiTheme="minorEastAsia"/>
          <w:sz w:val="24"/>
          <w:szCs w:val="24"/>
        </w:rPr>
        <w:t>适用于</w:t>
      </w:r>
      <w:r>
        <w:rPr>
          <w:rFonts w:hint="eastAsia" w:cs="Times New Roman" w:asciiTheme="minorEastAsia" w:hAnsiTheme="minorEastAsia"/>
          <w:sz w:val="24"/>
          <w:szCs w:val="24"/>
        </w:rPr>
        <w:t>采用变压吸附制氧技术为高炉炼铁提供氧气的设计及使用，钢铁行业中的热风炉、加热炉等采用富氧燃烧的工业窑炉可参照执行。</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2</w:t>
      </w:r>
      <w:r>
        <w:rPr>
          <w:rFonts w:asciiTheme="minorEastAsia" w:hAnsiTheme="minorEastAsia"/>
          <w:sz w:val="24"/>
          <w:szCs w:val="24"/>
        </w:rPr>
        <w:t>.</w:t>
      </w:r>
      <w:r>
        <w:rPr>
          <w:rFonts w:hint="eastAsia" w:asciiTheme="minorEastAsia" w:hAnsiTheme="minorEastAsia"/>
          <w:sz w:val="24"/>
          <w:szCs w:val="24"/>
        </w:rPr>
        <w:t>3标准内容</w:t>
      </w:r>
      <w:bookmarkEnd w:id="8"/>
    </w:p>
    <w:p>
      <w:pPr>
        <w:spacing w:line="360" w:lineRule="auto"/>
        <w:ind w:firstLine="360"/>
        <w:rPr>
          <w:rFonts w:cs="Times New Roman" w:asciiTheme="minorEastAsia" w:hAnsiTheme="minorEastAsia"/>
          <w:sz w:val="24"/>
          <w:szCs w:val="24"/>
        </w:rPr>
      </w:pPr>
      <w:r>
        <w:rPr>
          <w:rFonts w:hint="eastAsia" w:cs="Times New Roman" w:asciiTheme="minorEastAsia" w:hAnsiTheme="minorEastAsia"/>
          <w:sz w:val="24"/>
          <w:szCs w:val="24"/>
        </w:rPr>
        <w:t>术语和定义</w:t>
      </w:r>
    </w:p>
    <w:p>
      <w:pPr>
        <w:spacing w:line="360" w:lineRule="auto"/>
        <w:ind w:firstLine="360"/>
        <w:rPr>
          <w:rFonts w:cs="Times New Roman" w:asciiTheme="minorEastAsia" w:hAnsiTheme="minorEastAsia"/>
          <w:sz w:val="24"/>
          <w:szCs w:val="24"/>
        </w:rPr>
      </w:pPr>
      <w:r>
        <w:rPr>
          <w:rFonts w:hint="eastAsia" w:cs="Times New Roman" w:asciiTheme="minorEastAsia" w:hAnsiTheme="minorEastAsia"/>
          <w:sz w:val="24"/>
          <w:szCs w:val="24"/>
        </w:rPr>
        <w:t>原理与流程</w:t>
      </w:r>
    </w:p>
    <w:p>
      <w:pPr>
        <w:spacing w:line="360" w:lineRule="auto"/>
        <w:ind w:firstLine="360"/>
        <w:rPr>
          <w:rFonts w:cs="Times New Roman" w:asciiTheme="minorEastAsia" w:hAnsiTheme="minorEastAsia"/>
          <w:sz w:val="24"/>
          <w:szCs w:val="24"/>
        </w:rPr>
      </w:pPr>
      <w:r>
        <w:rPr>
          <w:rFonts w:hint="eastAsia" w:cs="Times New Roman" w:asciiTheme="minorEastAsia" w:hAnsiTheme="minorEastAsia"/>
          <w:sz w:val="24"/>
          <w:szCs w:val="24"/>
        </w:rPr>
        <w:t>应用分类</w:t>
      </w:r>
    </w:p>
    <w:p>
      <w:pPr>
        <w:spacing w:line="360" w:lineRule="auto"/>
        <w:ind w:firstLine="360"/>
        <w:rPr>
          <w:rFonts w:cs="Times New Roman" w:asciiTheme="minorEastAsia" w:hAnsiTheme="minorEastAsia"/>
          <w:sz w:val="24"/>
          <w:szCs w:val="24"/>
        </w:rPr>
      </w:pPr>
      <w:r>
        <w:rPr>
          <w:rFonts w:cs="Times New Roman" w:asciiTheme="minorEastAsia" w:hAnsiTheme="minorEastAsia"/>
          <w:sz w:val="24"/>
          <w:szCs w:val="24"/>
        </w:rPr>
        <w:t>技术要求</w:t>
      </w:r>
    </w:p>
    <w:p>
      <w:pPr>
        <w:spacing w:line="360" w:lineRule="auto"/>
        <w:ind w:firstLine="360"/>
        <w:rPr>
          <w:rFonts w:cs="Times New Roman" w:asciiTheme="minorEastAsia" w:hAnsiTheme="minorEastAsia"/>
          <w:sz w:val="24"/>
          <w:szCs w:val="24"/>
        </w:rPr>
      </w:pPr>
      <w:r>
        <w:rPr>
          <w:rFonts w:hint="eastAsia" w:cs="Times New Roman" w:asciiTheme="minorEastAsia" w:hAnsiTheme="minorEastAsia"/>
          <w:sz w:val="24"/>
          <w:szCs w:val="24"/>
        </w:rPr>
        <w:t>基本操作与安全防护</w:t>
      </w:r>
    </w:p>
    <w:p>
      <w:pPr>
        <w:spacing w:line="360" w:lineRule="auto"/>
        <w:outlineLvl w:val="0"/>
        <w:rPr>
          <w:rFonts w:asciiTheme="minorEastAsia" w:hAnsiTheme="minorEastAsia"/>
          <w:b/>
          <w:sz w:val="28"/>
          <w:szCs w:val="28"/>
        </w:rPr>
      </w:pPr>
      <w:bookmarkStart w:id="9" w:name="_Toc46351182"/>
      <w:r>
        <w:rPr>
          <w:rFonts w:hint="eastAsia" w:asciiTheme="minorEastAsia" w:hAnsiTheme="minorEastAsia"/>
          <w:b/>
          <w:sz w:val="28"/>
          <w:szCs w:val="28"/>
        </w:rPr>
        <w:t>三、</w:t>
      </w:r>
      <w:bookmarkEnd w:id="9"/>
      <w:r>
        <w:rPr>
          <w:rFonts w:hint="eastAsia" w:asciiTheme="minorEastAsia" w:hAnsiTheme="minorEastAsia"/>
          <w:b/>
          <w:sz w:val="28"/>
          <w:szCs w:val="28"/>
        </w:rPr>
        <w:t>产业化情况和预期达到的经济效果等情况</w:t>
      </w:r>
    </w:p>
    <w:p>
      <w:pPr>
        <w:spacing w:line="360" w:lineRule="auto"/>
        <w:ind w:firstLine="480" w:firstLineChars="200"/>
        <w:rPr>
          <w:rFonts w:cs="Times New Roman" w:asciiTheme="minorEastAsia" w:hAnsiTheme="minorEastAsia"/>
          <w:sz w:val="24"/>
          <w:szCs w:val="24"/>
        </w:rPr>
      </w:pPr>
      <w:bookmarkStart w:id="10" w:name="_Toc46351183"/>
      <w:r>
        <w:rPr>
          <w:rFonts w:hint="eastAsia" w:cs="Times New Roman" w:asciiTheme="minorEastAsia" w:hAnsiTheme="minorEastAsia"/>
          <w:sz w:val="24"/>
          <w:szCs w:val="24"/>
        </w:rPr>
        <w:t>变压吸附制氧设备具有能耗低、占地面积小、操作灵活以及建设周期短等诸多特点。钢铁行业中采用氧气参与生产过程的环节很多，是氧气需求的主要行业之一，变压吸附制氧设备在钢铁行业中的应用也越来越普遍。</w:t>
      </w:r>
    </w:p>
    <w:p>
      <w:pPr>
        <w:spacing w:line="360" w:lineRule="auto"/>
        <w:ind w:firstLine="480" w:firstLineChars="200"/>
        <w:rPr>
          <w:rFonts w:cs="Times New Roman" w:asciiTheme="minorEastAsia" w:hAnsiTheme="minorEastAsia"/>
          <w:sz w:val="24"/>
          <w:szCs w:val="24"/>
        </w:rPr>
      </w:pPr>
      <w:r>
        <w:rPr>
          <w:rFonts w:hint="eastAsia" w:cs="Times New Roman" w:asciiTheme="minorEastAsia" w:hAnsiTheme="minorEastAsia"/>
          <w:sz w:val="24"/>
          <w:szCs w:val="24"/>
        </w:rPr>
        <w:t>近些年来由于高炉富氧喷煤技术的广泛应用，高炉炼铁过程更加节能，效率显著提高，越来越多的钢铁企业采用独立的变压吸附制氧设备为高炉、热风炉提供氧气。变压吸附制氧设备能耗低及操作灵活的特性与高炉炼铁相结合带来了更好的经济效益。</w:t>
      </w:r>
    </w:p>
    <w:p>
      <w:pPr>
        <w:spacing w:line="360" w:lineRule="auto"/>
        <w:ind w:firstLine="480" w:firstLineChars="200"/>
        <w:rPr>
          <w:rFonts w:cs="Times New Roman" w:asciiTheme="minorEastAsia" w:hAnsiTheme="minorEastAsia"/>
          <w:color w:val="FF0000"/>
          <w:sz w:val="24"/>
          <w:szCs w:val="24"/>
        </w:rPr>
      </w:pPr>
      <w:r>
        <w:rPr>
          <w:rFonts w:cs="Times New Roman" w:asciiTheme="minorEastAsia" w:hAnsiTheme="minorEastAsia"/>
          <w:color w:val="FF0000"/>
          <w:sz w:val="24"/>
          <w:szCs w:val="24"/>
        </w:rPr>
        <w:t>北京北大先锋科技股份有限公司近几年已为国内多家钢铁企业供应数套用于高炉炼铁的变压吸附制氧设备</w:t>
      </w:r>
      <w:r>
        <w:rPr>
          <w:rFonts w:hint="eastAsia" w:cs="Times New Roman" w:asciiTheme="minorEastAsia" w:hAnsiTheme="minorEastAsia"/>
          <w:color w:val="FF0000"/>
          <w:sz w:val="24"/>
          <w:szCs w:val="24"/>
        </w:rPr>
        <w:t>。</w:t>
      </w:r>
      <w:r>
        <w:rPr>
          <w:rFonts w:hint="eastAsia" w:ascii="宋体" w:hAnsi="宋体"/>
          <w:color w:val="FF0000"/>
          <w:sz w:val="24"/>
        </w:rPr>
        <w:t>根据钢铁企业实际的运行情况，均获得了良好的使用效果，节能及增产效果明显，并且以部分企业的富氧率来看仍有进一步提升的空间。</w:t>
      </w:r>
    </w:p>
    <w:p>
      <w:pPr>
        <w:spacing w:line="360" w:lineRule="auto"/>
        <w:ind w:firstLine="480" w:firstLineChars="200"/>
        <w:rPr>
          <w:rFonts w:cs="Times New Roman" w:asciiTheme="minorEastAsia" w:hAnsiTheme="minorEastAsia"/>
          <w:sz w:val="24"/>
          <w:szCs w:val="24"/>
        </w:rPr>
      </w:pPr>
      <w:r>
        <w:rPr>
          <w:rFonts w:hint="eastAsia" w:cs="Times New Roman" w:asciiTheme="minorEastAsia" w:hAnsiTheme="minorEastAsia"/>
          <w:sz w:val="24"/>
          <w:szCs w:val="24"/>
        </w:rPr>
        <w:t>随着国内钢铁行业的发展情况，变压吸附制氧设备在高炉炼铁中的运用越来越多。确定该标准对于规范化的设计、制造变压吸附制氧设备及高效安全的使用起到重要作用。</w:t>
      </w:r>
    </w:p>
    <w:p>
      <w:pPr>
        <w:spacing w:after="240" w:line="360" w:lineRule="auto"/>
        <w:rPr>
          <w:rFonts w:cs="Times New Roman" w:asciiTheme="minorEastAsia" w:hAnsiTheme="minorEastAsia"/>
          <w:b/>
          <w:sz w:val="28"/>
          <w:szCs w:val="28"/>
        </w:rPr>
      </w:pPr>
      <w:r>
        <w:rPr>
          <w:rFonts w:hint="eastAsia" w:cs="Times New Roman" w:asciiTheme="minorEastAsia" w:hAnsiTheme="minorEastAsia"/>
          <w:b/>
          <w:sz w:val="28"/>
          <w:szCs w:val="28"/>
        </w:rPr>
        <w:t>四、涉及专利情况</w:t>
      </w:r>
    </w:p>
    <w:p>
      <w:pPr>
        <w:spacing w:line="360" w:lineRule="auto"/>
        <w:ind w:firstLine="480" w:firstLineChars="200"/>
        <w:rPr>
          <w:rFonts w:cs="Times New Roman" w:asciiTheme="minorEastAsia" w:hAnsiTheme="minorEastAsia"/>
          <w:sz w:val="24"/>
          <w:szCs w:val="24"/>
        </w:rPr>
      </w:pPr>
      <w:r>
        <w:rPr>
          <w:rFonts w:hint="eastAsia" w:cs="Times New Roman" w:asciiTheme="minorEastAsia" w:hAnsiTheme="minorEastAsia"/>
          <w:sz w:val="24"/>
          <w:szCs w:val="24"/>
        </w:rPr>
        <w:t>本标准不涉及专利问题。</w:t>
      </w:r>
    </w:p>
    <w:p>
      <w:pPr>
        <w:spacing w:line="360" w:lineRule="auto"/>
        <w:rPr>
          <w:rFonts w:cs="Times New Roman" w:asciiTheme="minorEastAsia" w:hAnsiTheme="minorEastAsia"/>
          <w:sz w:val="24"/>
          <w:szCs w:val="24"/>
        </w:rPr>
      </w:pPr>
    </w:p>
    <w:bookmarkEnd w:id="10"/>
    <w:p>
      <w:pPr>
        <w:pStyle w:val="2"/>
        <w:spacing w:line="360" w:lineRule="auto"/>
        <w:ind w:firstLine="0"/>
        <w:rPr>
          <w:rFonts w:asciiTheme="minorEastAsia" w:hAnsiTheme="minorEastAsia"/>
          <w:b/>
          <w:sz w:val="28"/>
          <w:szCs w:val="28"/>
        </w:rPr>
      </w:pPr>
      <w:r>
        <w:rPr>
          <w:rFonts w:hint="eastAsia" w:asciiTheme="minorEastAsia" w:hAnsiTheme="minorEastAsia"/>
          <w:b/>
          <w:sz w:val="28"/>
          <w:szCs w:val="28"/>
        </w:rPr>
        <w:t>五、与现行相关法律、法规、规章及标准，特别是强制性标准的协调性</w:t>
      </w:r>
    </w:p>
    <w:p>
      <w:pPr>
        <w:pStyle w:val="4"/>
        <w:spacing w:after="240"/>
        <w:ind w:firstLine="360"/>
        <w:rPr>
          <w:rFonts w:asciiTheme="minorEastAsia" w:hAnsiTheme="minorEastAsia" w:eastAsiaTheme="minorEastAsia"/>
          <w:szCs w:val="24"/>
        </w:rPr>
      </w:pPr>
      <w:r>
        <w:rPr>
          <w:rFonts w:hint="eastAsia" w:asciiTheme="minorEastAsia" w:hAnsiTheme="minorEastAsia" w:eastAsiaTheme="minorEastAsia"/>
          <w:szCs w:val="24"/>
        </w:rPr>
        <w:t>本标准的制定符合现行的国家法律、法规和满足现行强制性国家标准的要求。</w:t>
      </w:r>
    </w:p>
    <w:p>
      <w:pPr>
        <w:pStyle w:val="2"/>
        <w:spacing w:line="360" w:lineRule="auto"/>
        <w:ind w:firstLine="0"/>
        <w:rPr>
          <w:rFonts w:asciiTheme="minorEastAsia" w:hAnsiTheme="minorEastAsia"/>
          <w:b/>
          <w:sz w:val="28"/>
          <w:szCs w:val="28"/>
        </w:rPr>
      </w:pPr>
      <w:r>
        <w:rPr>
          <w:rFonts w:hint="eastAsia" w:asciiTheme="minorEastAsia" w:hAnsiTheme="minorEastAsia"/>
          <w:b/>
          <w:sz w:val="28"/>
          <w:szCs w:val="28"/>
        </w:rPr>
        <w:t>六、重大分歧意见的处理经过和依据；</w:t>
      </w:r>
    </w:p>
    <w:p>
      <w:pPr>
        <w:pStyle w:val="2"/>
        <w:spacing w:after="240" w:line="360" w:lineRule="auto"/>
        <w:ind w:firstLineChars="175"/>
        <w:rPr>
          <w:rFonts w:asciiTheme="minorEastAsia" w:hAnsiTheme="minorEastAsia"/>
          <w:sz w:val="24"/>
          <w:szCs w:val="24"/>
        </w:rPr>
      </w:pPr>
      <w:r>
        <w:rPr>
          <w:rFonts w:hint="eastAsia" w:asciiTheme="minorEastAsia" w:hAnsiTheme="minorEastAsia"/>
          <w:sz w:val="24"/>
          <w:szCs w:val="24"/>
        </w:rPr>
        <w:t>无。</w:t>
      </w:r>
    </w:p>
    <w:p>
      <w:pPr>
        <w:pStyle w:val="2"/>
        <w:spacing w:line="360" w:lineRule="auto"/>
        <w:ind w:firstLine="0"/>
        <w:rPr>
          <w:rFonts w:asciiTheme="minorEastAsia" w:hAnsiTheme="minorEastAsia"/>
          <w:b/>
          <w:sz w:val="28"/>
          <w:szCs w:val="28"/>
        </w:rPr>
      </w:pPr>
      <w:r>
        <w:rPr>
          <w:rFonts w:hint="eastAsia" w:asciiTheme="minorEastAsia" w:hAnsiTheme="minorEastAsia"/>
          <w:b/>
          <w:sz w:val="28"/>
          <w:szCs w:val="28"/>
        </w:rPr>
        <w:t>七、标准性质的建议说明；</w:t>
      </w:r>
    </w:p>
    <w:p>
      <w:pPr>
        <w:pStyle w:val="2"/>
        <w:spacing w:after="240" w:line="360" w:lineRule="auto"/>
        <w:ind w:firstLine="480" w:firstLineChars="200"/>
        <w:rPr>
          <w:rFonts w:asciiTheme="minorEastAsia" w:hAnsiTheme="minorEastAsia"/>
          <w:sz w:val="24"/>
          <w:szCs w:val="24"/>
        </w:rPr>
      </w:pPr>
      <w:r>
        <w:rPr>
          <w:rFonts w:asciiTheme="minorEastAsia" w:hAnsiTheme="minorEastAsia"/>
          <w:sz w:val="24"/>
          <w:szCs w:val="24"/>
        </w:rPr>
        <w:t>根据我国标准性质的划分</w:t>
      </w:r>
      <w:r>
        <w:rPr>
          <w:rFonts w:hint="eastAsia" w:asciiTheme="minorEastAsia" w:hAnsiTheme="minorEastAsia"/>
          <w:sz w:val="24"/>
          <w:szCs w:val="24"/>
        </w:rPr>
        <w:t>，</w:t>
      </w:r>
      <w:r>
        <w:rPr>
          <w:rFonts w:asciiTheme="minorEastAsia" w:hAnsiTheme="minorEastAsia"/>
          <w:sz w:val="24"/>
          <w:szCs w:val="24"/>
        </w:rPr>
        <w:t>建议将本标准作为推荐性标准</w:t>
      </w:r>
      <w:r>
        <w:rPr>
          <w:rFonts w:hint="eastAsia" w:asciiTheme="minorEastAsia" w:hAnsiTheme="minorEastAsia"/>
          <w:sz w:val="24"/>
          <w:szCs w:val="24"/>
        </w:rPr>
        <w:t>。</w:t>
      </w:r>
    </w:p>
    <w:p>
      <w:pPr>
        <w:pStyle w:val="2"/>
        <w:spacing w:line="360" w:lineRule="auto"/>
        <w:ind w:firstLine="0"/>
        <w:rPr>
          <w:rFonts w:asciiTheme="minorEastAsia" w:hAnsiTheme="minorEastAsia"/>
          <w:b/>
          <w:sz w:val="28"/>
          <w:szCs w:val="28"/>
        </w:rPr>
      </w:pPr>
      <w:r>
        <w:rPr>
          <w:rFonts w:hint="eastAsia" w:asciiTheme="minorEastAsia" w:hAnsiTheme="minorEastAsia"/>
          <w:b/>
          <w:sz w:val="28"/>
          <w:szCs w:val="28"/>
        </w:rPr>
        <w:t>八、贯彻标准的要求和措施建议</w:t>
      </w:r>
    </w:p>
    <w:p>
      <w:pPr>
        <w:pStyle w:val="2"/>
        <w:spacing w:after="240" w:line="360" w:lineRule="auto"/>
        <w:ind w:firstLine="480" w:firstLineChars="200"/>
        <w:rPr>
          <w:rFonts w:asciiTheme="minorEastAsia" w:hAnsiTheme="minorEastAsia"/>
          <w:sz w:val="24"/>
          <w:szCs w:val="24"/>
        </w:rPr>
      </w:pPr>
      <w:r>
        <w:rPr>
          <w:rFonts w:hint="eastAsia" w:asciiTheme="minorEastAsia" w:hAnsiTheme="minorEastAsia"/>
          <w:sz w:val="24"/>
          <w:szCs w:val="24"/>
        </w:rPr>
        <w:t>建议</w:t>
      </w:r>
      <w:r>
        <w:rPr>
          <w:rFonts w:asciiTheme="minorEastAsia" w:hAnsiTheme="minorEastAsia"/>
          <w:sz w:val="24"/>
          <w:szCs w:val="24"/>
        </w:rPr>
        <w:t>本标准批准发布即实施</w:t>
      </w:r>
      <w:r>
        <w:rPr>
          <w:rFonts w:hint="eastAsia" w:asciiTheme="minorEastAsia" w:hAnsiTheme="minorEastAsia"/>
          <w:sz w:val="24"/>
          <w:szCs w:val="24"/>
        </w:rPr>
        <w:t>。</w:t>
      </w:r>
    </w:p>
    <w:p>
      <w:pPr>
        <w:pStyle w:val="2"/>
        <w:spacing w:line="360" w:lineRule="auto"/>
        <w:ind w:firstLine="0"/>
        <w:rPr>
          <w:rFonts w:asciiTheme="minorEastAsia" w:hAnsiTheme="minorEastAsia"/>
          <w:b/>
          <w:sz w:val="28"/>
          <w:szCs w:val="28"/>
        </w:rPr>
      </w:pPr>
      <w:r>
        <w:rPr>
          <w:rFonts w:hint="eastAsia" w:asciiTheme="minorEastAsia" w:hAnsiTheme="minorEastAsia"/>
          <w:b/>
          <w:sz w:val="28"/>
          <w:szCs w:val="28"/>
        </w:rPr>
        <w:t>九、废止现行相关标准的建议；</w:t>
      </w:r>
    </w:p>
    <w:p>
      <w:pPr>
        <w:pStyle w:val="2"/>
        <w:spacing w:after="240" w:line="360" w:lineRule="auto"/>
        <w:ind w:firstLine="480" w:firstLineChars="200"/>
        <w:rPr>
          <w:rFonts w:asciiTheme="minorEastAsia" w:hAnsiTheme="minorEastAsia"/>
          <w:sz w:val="24"/>
          <w:szCs w:val="24"/>
        </w:rPr>
      </w:pPr>
      <w:r>
        <w:rPr>
          <w:rFonts w:hint="eastAsia" w:asciiTheme="minorEastAsia" w:hAnsiTheme="minorEastAsia"/>
          <w:sz w:val="24"/>
          <w:szCs w:val="24"/>
        </w:rPr>
        <w:t>无。</w:t>
      </w:r>
    </w:p>
    <w:p>
      <w:pPr>
        <w:pStyle w:val="2"/>
        <w:spacing w:line="360" w:lineRule="auto"/>
        <w:ind w:firstLine="0"/>
        <w:rPr>
          <w:rFonts w:asciiTheme="minorEastAsia" w:hAnsiTheme="minorEastAsia"/>
          <w:b/>
          <w:sz w:val="28"/>
          <w:szCs w:val="28"/>
        </w:rPr>
      </w:pPr>
      <w:r>
        <w:rPr>
          <w:rFonts w:hint="eastAsia" w:asciiTheme="minorEastAsia" w:hAnsiTheme="minorEastAsia"/>
          <w:b/>
          <w:sz w:val="28"/>
          <w:szCs w:val="28"/>
        </w:rPr>
        <w:t>十、其它应予说明的事项。</w:t>
      </w:r>
    </w:p>
    <w:p>
      <w:pPr>
        <w:pStyle w:val="2"/>
        <w:spacing w:line="360" w:lineRule="auto"/>
        <w:ind w:firstLine="480" w:firstLineChars="200"/>
      </w:pPr>
      <w:r>
        <w:rPr>
          <w:rFonts w:hint="eastAsia" w:asciiTheme="minorEastAsia" w:hAnsiTheme="minorEastAsia" w:eastAsiaTheme="minorEastAsia"/>
          <w:sz w:val="24"/>
          <w:szCs w:val="24"/>
        </w:rPr>
        <w:t>无。</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7EFC"/>
    <w:rsid w:val="00007A24"/>
    <w:rsid w:val="0003304E"/>
    <w:rsid w:val="000A08BF"/>
    <w:rsid w:val="000A7F7E"/>
    <w:rsid w:val="000F47ED"/>
    <w:rsid w:val="0011359F"/>
    <w:rsid w:val="00127E2E"/>
    <w:rsid w:val="00141C55"/>
    <w:rsid w:val="0014657C"/>
    <w:rsid w:val="001B42BF"/>
    <w:rsid w:val="001E0347"/>
    <w:rsid w:val="001F29BD"/>
    <w:rsid w:val="00211E4B"/>
    <w:rsid w:val="00257C52"/>
    <w:rsid w:val="0028752B"/>
    <w:rsid w:val="002A64DC"/>
    <w:rsid w:val="002B066F"/>
    <w:rsid w:val="002C3B97"/>
    <w:rsid w:val="002C7EFC"/>
    <w:rsid w:val="002E467B"/>
    <w:rsid w:val="002F540B"/>
    <w:rsid w:val="00305CA3"/>
    <w:rsid w:val="003400A9"/>
    <w:rsid w:val="00374D69"/>
    <w:rsid w:val="003A275D"/>
    <w:rsid w:val="003A7519"/>
    <w:rsid w:val="0045514A"/>
    <w:rsid w:val="00466B5A"/>
    <w:rsid w:val="00490FB9"/>
    <w:rsid w:val="004A01B4"/>
    <w:rsid w:val="004B7D78"/>
    <w:rsid w:val="004D68B7"/>
    <w:rsid w:val="004E422E"/>
    <w:rsid w:val="004F0DF8"/>
    <w:rsid w:val="004F642B"/>
    <w:rsid w:val="005226DD"/>
    <w:rsid w:val="005250CC"/>
    <w:rsid w:val="00532C04"/>
    <w:rsid w:val="005453F5"/>
    <w:rsid w:val="00561215"/>
    <w:rsid w:val="00583D1F"/>
    <w:rsid w:val="005C4516"/>
    <w:rsid w:val="005D0B99"/>
    <w:rsid w:val="005D4542"/>
    <w:rsid w:val="005D73A7"/>
    <w:rsid w:val="005E4BB7"/>
    <w:rsid w:val="00627681"/>
    <w:rsid w:val="006344C5"/>
    <w:rsid w:val="006664A6"/>
    <w:rsid w:val="006C5995"/>
    <w:rsid w:val="006E56CC"/>
    <w:rsid w:val="006F185A"/>
    <w:rsid w:val="00701EE7"/>
    <w:rsid w:val="00707792"/>
    <w:rsid w:val="007155A5"/>
    <w:rsid w:val="00745DF7"/>
    <w:rsid w:val="0076719A"/>
    <w:rsid w:val="007B13D7"/>
    <w:rsid w:val="007B20C7"/>
    <w:rsid w:val="007D1632"/>
    <w:rsid w:val="007F006F"/>
    <w:rsid w:val="00803944"/>
    <w:rsid w:val="008110DF"/>
    <w:rsid w:val="008321BC"/>
    <w:rsid w:val="00856816"/>
    <w:rsid w:val="0088505A"/>
    <w:rsid w:val="008C5443"/>
    <w:rsid w:val="008E7AC6"/>
    <w:rsid w:val="009215ED"/>
    <w:rsid w:val="009352E0"/>
    <w:rsid w:val="00955D41"/>
    <w:rsid w:val="009748D0"/>
    <w:rsid w:val="009814B8"/>
    <w:rsid w:val="009950A3"/>
    <w:rsid w:val="009B1E57"/>
    <w:rsid w:val="009C49C1"/>
    <w:rsid w:val="009E55DE"/>
    <w:rsid w:val="00A153B7"/>
    <w:rsid w:val="00A500E5"/>
    <w:rsid w:val="00A55864"/>
    <w:rsid w:val="00A74BD7"/>
    <w:rsid w:val="00A85E46"/>
    <w:rsid w:val="00AD0EB9"/>
    <w:rsid w:val="00AE159E"/>
    <w:rsid w:val="00B12D14"/>
    <w:rsid w:val="00B15932"/>
    <w:rsid w:val="00B46EC9"/>
    <w:rsid w:val="00B616D6"/>
    <w:rsid w:val="00B63329"/>
    <w:rsid w:val="00B7349F"/>
    <w:rsid w:val="00B8069B"/>
    <w:rsid w:val="00B8252F"/>
    <w:rsid w:val="00BD058D"/>
    <w:rsid w:val="00C25558"/>
    <w:rsid w:val="00C51410"/>
    <w:rsid w:val="00C708A7"/>
    <w:rsid w:val="00C93E27"/>
    <w:rsid w:val="00CB67E8"/>
    <w:rsid w:val="00CF005F"/>
    <w:rsid w:val="00D052C0"/>
    <w:rsid w:val="00D2161F"/>
    <w:rsid w:val="00D360E6"/>
    <w:rsid w:val="00D4035F"/>
    <w:rsid w:val="00D40F32"/>
    <w:rsid w:val="00D45B01"/>
    <w:rsid w:val="00D73FC4"/>
    <w:rsid w:val="00D76D5A"/>
    <w:rsid w:val="00D9538A"/>
    <w:rsid w:val="00DC7F0D"/>
    <w:rsid w:val="00DF0A21"/>
    <w:rsid w:val="00E07338"/>
    <w:rsid w:val="00E50F35"/>
    <w:rsid w:val="00E643E6"/>
    <w:rsid w:val="00E81B77"/>
    <w:rsid w:val="00ED5971"/>
    <w:rsid w:val="00F02A15"/>
    <w:rsid w:val="00F13DD2"/>
    <w:rsid w:val="00F2125F"/>
    <w:rsid w:val="00F35765"/>
    <w:rsid w:val="00F60A40"/>
    <w:rsid w:val="00F70294"/>
    <w:rsid w:val="00FE00F4"/>
    <w:rsid w:val="00FE3088"/>
    <w:rsid w:val="00FE6280"/>
    <w:rsid w:val="0B5E53D8"/>
    <w:rsid w:val="1D5D43B5"/>
    <w:rsid w:val="4F95384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nhideWhenUsed="0" w:uiPriority="0" w:semiHidden="0"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semiHidden/>
    <w:unhideWhenUsed/>
    <w:uiPriority w:val="1"/>
  </w:style>
  <w:style w:type="table" w:default="1" w:styleId="9">
    <w:name w:val="Normal Table"/>
    <w:semiHidden/>
    <w:unhideWhenUsed/>
    <w:uiPriority w:val="99"/>
    <w:tblPr>
      <w:tblLayout w:type="fixed"/>
      <w:tblCellMar>
        <w:top w:w="0" w:type="dxa"/>
        <w:left w:w="108" w:type="dxa"/>
        <w:bottom w:w="0" w:type="dxa"/>
        <w:right w:w="108" w:type="dxa"/>
      </w:tblCellMar>
    </w:tblPr>
  </w:style>
  <w:style w:type="paragraph" w:styleId="2">
    <w:name w:val="Normal Indent"/>
    <w:basedOn w:val="1"/>
    <w:uiPriority w:val="0"/>
    <w:pPr>
      <w:ind w:firstLine="420"/>
    </w:pPr>
    <w:rPr>
      <w:rFonts w:ascii="Times New Roman" w:hAnsi="Times New Roman" w:eastAsia="宋体" w:cs="Times New Roman"/>
      <w:szCs w:val="20"/>
    </w:rPr>
  </w:style>
  <w:style w:type="paragraph" w:styleId="3">
    <w:name w:val="annotation text"/>
    <w:basedOn w:val="1"/>
    <w:link w:val="19"/>
    <w:semiHidden/>
    <w:unhideWhenUsed/>
    <w:uiPriority w:val="99"/>
    <w:pPr>
      <w:jc w:val="left"/>
    </w:pPr>
  </w:style>
  <w:style w:type="paragraph" w:styleId="4">
    <w:name w:val="Body Text Indent 2"/>
    <w:basedOn w:val="1"/>
    <w:link w:val="13"/>
    <w:qFormat/>
    <w:uiPriority w:val="0"/>
    <w:pPr>
      <w:spacing w:line="360" w:lineRule="auto"/>
      <w:ind w:firstLine="540"/>
    </w:pPr>
    <w:rPr>
      <w:rFonts w:ascii="Times New Roman" w:hAnsi="Times New Roman" w:eastAsia="宋体" w:cs="Times New Roman"/>
      <w:sz w:val="24"/>
      <w:szCs w:val="20"/>
    </w:rPr>
  </w:style>
  <w:style w:type="paragraph" w:styleId="5">
    <w:name w:val="Balloon Text"/>
    <w:basedOn w:val="1"/>
    <w:link w:val="21"/>
    <w:semiHidden/>
    <w:unhideWhenUsed/>
    <w:qFormat/>
    <w:uiPriority w:val="99"/>
    <w:rPr>
      <w:sz w:val="18"/>
      <w:szCs w:val="18"/>
    </w:rPr>
  </w:style>
  <w:style w:type="paragraph" w:styleId="6">
    <w:name w:val="footer"/>
    <w:basedOn w:val="1"/>
    <w:link w:val="15"/>
    <w:unhideWhenUsed/>
    <w:uiPriority w:val="99"/>
    <w:pPr>
      <w:tabs>
        <w:tab w:val="center" w:pos="4153"/>
        <w:tab w:val="right" w:pos="8306"/>
      </w:tabs>
      <w:snapToGrid w:val="0"/>
      <w:jc w:val="left"/>
    </w:pPr>
    <w:rPr>
      <w:sz w:val="18"/>
      <w:szCs w:val="18"/>
    </w:rPr>
  </w:style>
  <w:style w:type="paragraph" w:styleId="7">
    <w:name w:val="header"/>
    <w:basedOn w:val="1"/>
    <w:link w:val="14"/>
    <w:unhideWhenUsed/>
    <w:uiPriority w:val="99"/>
    <w:pPr>
      <w:pBdr>
        <w:bottom w:val="single" w:color="auto" w:sz="6" w:space="1"/>
      </w:pBdr>
      <w:tabs>
        <w:tab w:val="center" w:pos="4153"/>
        <w:tab w:val="right" w:pos="8306"/>
      </w:tabs>
      <w:snapToGrid w:val="0"/>
      <w:jc w:val="center"/>
    </w:pPr>
    <w:rPr>
      <w:sz w:val="18"/>
      <w:szCs w:val="18"/>
    </w:rPr>
  </w:style>
  <w:style w:type="paragraph" w:styleId="8">
    <w:name w:val="annotation subject"/>
    <w:basedOn w:val="3"/>
    <w:next w:val="3"/>
    <w:link w:val="20"/>
    <w:semiHidden/>
    <w:unhideWhenUsed/>
    <w:uiPriority w:val="99"/>
    <w:rPr>
      <w:b/>
      <w:bCs/>
    </w:rPr>
  </w:style>
  <w:style w:type="character" w:styleId="11">
    <w:name w:val="annotation reference"/>
    <w:basedOn w:val="10"/>
    <w:semiHidden/>
    <w:unhideWhenUsed/>
    <w:qFormat/>
    <w:uiPriority w:val="99"/>
    <w:rPr>
      <w:sz w:val="21"/>
      <w:szCs w:val="21"/>
    </w:rPr>
  </w:style>
  <w:style w:type="paragraph" w:styleId="12">
    <w:name w:val="List Paragraph"/>
    <w:basedOn w:val="1"/>
    <w:qFormat/>
    <w:uiPriority w:val="34"/>
    <w:pPr>
      <w:ind w:firstLine="420" w:firstLineChars="200"/>
    </w:pPr>
  </w:style>
  <w:style w:type="character" w:customStyle="1" w:styleId="13">
    <w:name w:val="正文文本缩进 2 字符"/>
    <w:basedOn w:val="10"/>
    <w:link w:val="4"/>
    <w:qFormat/>
    <w:uiPriority w:val="0"/>
    <w:rPr>
      <w:rFonts w:ascii="Times New Roman" w:hAnsi="Times New Roman" w:eastAsia="宋体" w:cs="Times New Roman"/>
      <w:sz w:val="24"/>
      <w:szCs w:val="20"/>
    </w:rPr>
  </w:style>
  <w:style w:type="character" w:customStyle="1" w:styleId="14">
    <w:name w:val="页眉 字符"/>
    <w:basedOn w:val="10"/>
    <w:link w:val="7"/>
    <w:qFormat/>
    <w:uiPriority w:val="99"/>
    <w:rPr>
      <w:sz w:val="18"/>
      <w:szCs w:val="18"/>
    </w:rPr>
  </w:style>
  <w:style w:type="character" w:customStyle="1" w:styleId="15">
    <w:name w:val="页脚 字符"/>
    <w:basedOn w:val="10"/>
    <w:link w:val="6"/>
    <w:qFormat/>
    <w:uiPriority w:val="99"/>
    <w:rPr>
      <w:sz w:val="18"/>
      <w:szCs w:val="18"/>
    </w:rPr>
  </w:style>
  <w:style w:type="paragraph" w:customStyle="1" w:styleId="16">
    <w:name w:val="CM11"/>
    <w:basedOn w:val="1"/>
    <w:next w:val="1"/>
    <w:qFormat/>
    <w:uiPriority w:val="99"/>
    <w:pPr>
      <w:autoSpaceDE w:val="0"/>
      <w:autoSpaceDN w:val="0"/>
      <w:adjustRightInd w:val="0"/>
      <w:jc w:val="left"/>
    </w:pPr>
    <w:rPr>
      <w:rFonts w:ascii="宋体" w:eastAsia="宋体"/>
      <w:kern w:val="0"/>
      <w:sz w:val="24"/>
      <w:szCs w:val="24"/>
    </w:rPr>
  </w:style>
  <w:style w:type="paragraph" w:customStyle="1" w:styleId="17">
    <w:name w:val="段"/>
    <w:link w:val="18"/>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kern w:val="0"/>
      <w:sz w:val="20"/>
      <w:szCs w:val="20"/>
      <w:lang w:val="en-US" w:eastAsia="zh-CN" w:bidi="ar-SA"/>
    </w:rPr>
  </w:style>
  <w:style w:type="character" w:customStyle="1" w:styleId="18">
    <w:name w:val="段 Char"/>
    <w:link w:val="17"/>
    <w:qFormat/>
    <w:uiPriority w:val="0"/>
    <w:rPr>
      <w:rFonts w:ascii="宋体" w:hAnsi="Times New Roman" w:eastAsia="宋体" w:cs="Times New Roman"/>
      <w:kern w:val="0"/>
      <w:sz w:val="20"/>
      <w:szCs w:val="20"/>
    </w:rPr>
  </w:style>
  <w:style w:type="character" w:customStyle="1" w:styleId="19">
    <w:name w:val="批注文字 字符"/>
    <w:basedOn w:val="10"/>
    <w:link w:val="3"/>
    <w:semiHidden/>
    <w:qFormat/>
    <w:uiPriority w:val="99"/>
  </w:style>
  <w:style w:type="character" w:customStyle="1" w:styleId="20">
    <w:name w:val="批注主题 字符"/>
    <w:basedOn w:val="19"/>
    <w:link w:val="8"/>
    <w:semiHidden/>
    <w:qFormat/>
    <w:uiPriority w:val="99"/>
    <w:rPr>
      <w:b/>
      <w:bCs/>
    </w:rPr>
  </w:style>
  <w:style w:type="character" w:customStyle="1" w:styleId="21">
    <w:name w:val="批注框文本 字符"/>
    <w:basedOn w:val="10"/>
    <w:link w:val="5"/>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Pages>
  <Words>192</Words>
  <Characters>1096</Characters>
  <Lines>9</Lines>
  <Paragraphs>2</Paragraphs>
  <TotalTime>3</TotalTime>
  <ScaleCrop>false</ScaleCrop>
  <LinksUpToDate>false</LinksUpToDate>
  <CharactersWithSpaces>1286</CharactersWithSpaces>
  <Application>WPS Office_11.1.0.9021_F1E327BC-269C-435d-A152-05C5408002CA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2021-12-27T09:00:00Z</dcterms:created>
  <dc:creator>Admin</dc:creator>
  <cp:lastModifiedBy>Administrator</cp:lastModifiedBy>
  <cp:lastPrinted>2020-09-16T07:17:00Z</cp:lastPrinted>
  <dcterms:modified xsi:type="dcterms:W3CDTF">2022-03-06T09:53:41Z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ies>
</file>