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tabs>
          <w:tab w:val="left" w:pos="2071"/>
          <w:tab w:val="center" w:pos="4887"/>
        </w:tabs>
        <w:spacing w:before="850" w:after="680"/>
        <w:outlineLvl w:val="9"/>
        <w:rPr>
          <w:rFonts w:ascii="Times New Roman"/>
        </w:rPr>
      </w:pPr>
      <w:bookmarkStart w:id="0" w:name="_Toc24029"/>
      <w:bookmarkStart w:id="1" w:name="_Toc27511"/>
      <w:r>
        <w:rPr>
          <w:rFonts w:hint="eastAsia" w:ascii="Times New Roman"/>
        </w:rPr>
        <w:t>钢丝拉拔用粉粒状润滑剂</w:t>
      </w:r>
      <w:bookmarkEnd w:id="0"/>
      <w:bookmarkEnd w:id="1"/>
      <w:r>
        <w:rPr>
          <w:rFonts w:hint="eastAsia" w:ascii="Times New Roman"/>
          <w:lang w:val="en-US" w:eastAsia="zh-CN"/>
        </w:rPr>
        <w:t xml:space="preserve">                                 标准编制说明</w:t>
      </w:r>
    </w:p>
    <w:p>
      <w:pPr>
        <w:pStyle w:val="11"/>
        <w:spacing w:before="312" w:after="312"/>
        <w:ind w:left="0"/>
        <w:rPr>
          <w:rFonts w:ascii="Times New Roman"/>
        </w:rPr>
      </w:pPr>
      <w:bookmarkStart w:id="2" w:name="_Toc519540469"/>
      <w:bookmarkStart w:id="3" w:name="_Toc14157"/>
      <w:bookmarkStart w:id="4" w:name="_Toc520052899"/>
      <w:bookmarkStart w:id="5" w:name="_Toc519233758"/>
      <w:bookmarkStart w:id="6" w:name="_Toc531637966"/>
      <w:bookmarkStart w:id="7" w:name="_Toc519540535"/>
      <w:bookmarkStart w:id="8" w:name="_Toc520052958"/>
      <w:bookmarkStart w:id="9" w:name="_Toc22451357"/>
      <w:bookmarkStart w:id="10" w:name="_Toc531638001"/>
      <w:bookmarkStart w:id="11" w:name="_Toc22451398"/>
      <w:r>
        <w:rPr>
          <w:rFonts w:ascii="Times New Roman"/>
        </w:rPr>
        <w:t>范围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>
      <w:pPr>
        <w:pStyle w:val="6"/>
        <w:ind w:left="0"/>
        <w:rPr>
          <w:rFonts w:hint="eastAsia" w:hAnsi="宋体"/>
          <w:kern w:val="2"/>
          <w:szCs w:val="24"/>
        </w:rPr>
      </w:pPr>
      <w:r>
        <w:rPr>
          <w:rFonts w:hint="eastAsia" w:hAnsi="宋体"/>
          <w:kern w:val="2"/>
          <w:szCs w:val="24"/>
        </w:rPr>
        <w:t>本标准规定了固体拉拔润滑剂产品的分类、技术要求、试验方法、检验规则、标志、质量证明书、包装、运输和贮存。</w:t>
      </w:r>
    </w:p>
    <w:p>
      <w:pPr>
        <w:pStyle w:val="6"/>
        <w:ind w:left="0"/>
        <w:rPr>
          <w:rFonts w:asciiTheme="minorEastAsia" w:hAnsiTheme="minorEastAsia" w:eastAsiaTheme="minorEastAsia"/>
        </w:rPr>
      </w:pPr>
      <w:r>
        <w:rPr>
          <w:rFonts w:hint="eastAsia" w:hAnsi="宋体"/>
          <w:kern w:val="2"/>
          <w:szCs w:val="24"/>
        </w:rPr>
        <w:t>本标准适用于由工业硬脂酸、工业氢氧化钠及工业氢氧化钾或者由工业氢化油、工业氢氧化钙制备而成的固体拉拔润滑剂。</w:t>
      </w:r>
    </w:p>
    <w:p>
      <w:pPr>
        <w:pStyle w:val="11"/>
        <w:spacing w:before="312" w:after="312"/>
        <w:ind w:left="0"/>
        <w:rPr>
          <w:rFonts w:ascii="Times New Roman"/>
        </w:rPr>
      </w:pPr>
      <w:bookmarkStart w:id="12" w:name="_Toc531637967"/>
      <w:bookmarkStart w:id="13" w:name="_Toc519233759"/>
      <w:bookmarkStart w:id="14" w:name="_Toc22451399"/>
      <w:bookmarkStart w:id="15" w:name="_Toc519540470"/>
      <w:bookmarkStart w:id="16" w:name="_Toc11667"/>
      <w:bookmarkStart w:id="17" w:name="_Toc22451358"/>
      <w:bookmarkStart w:id="18" w:name="_Toc531638002"/>
      <w:bookmarkStart w:id="19" w:name="_Toc520052959"/>
      <w:bookmarkStart w:id="20" w:name="_Toc519540536"/>
      <w:bookmarkStart w:id="21" w:name="_Toc520052900"/>
      <w:r>
        <w:rPr>
          <w:rFonts w:ascii="Times New Roman"/>
        </w:rPr>
        <w:t>规范性引用文件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>
      <w:pPr>
        <w:pStyle w:val="6"/>
        <w:ind w:left="0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>
      <w:pPr>
        <w:pStyle w:val="6"/>
        <w:ind w:left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GB/T 6679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>固体化工产品采样通则</w:t>
      </w:r>
    </w:p>
    <w:p>
      <w:pPr>
        <w:pStyle w:val="6"/>
        <w:ind w:left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GB/T 123173—2008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 xml:space="preserve">表面活性剂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>洗涤剂试验方法</w:t>
      </w:r>
    </w:p>
    <w:p>
      <w:pPr>
        <w:pStyle w:val="6"/>
        <w:ind w:left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GB 11986—89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>表面活性剂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 xml:space="preserve"> 粉体和颗粒休止角的测量</w:t>
      </w:r>
    </w:p>
    <w:p>
      <w:pPr>
        <w:pStyle w:val="6"/>
        <w:ind w:left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QB/T 2623.4—2003（2009）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 xml:space="preserve">肥皂实验方法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>肥皂中水分和挥发物含量的测定</w:t>
      </w:r>
    </w:p>
    <w:p>
      <w:pPr>
        <w:pStyle w:val="6"/>
        <w:ind w:left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QB/T 2623.3—2003（2009）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/>
        </w:rPr>
        <w:t xml:space="preserve">肥皂实验方法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>肥皂中总碱量和总脂肪物含量的测定</w:t>
      </w:r>
    </w:p>
    <w:p>
      <w:pPr>
        <w:pStyle w:val="6"/>
        <w:ind w:left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 xml:space="preserve">GB/T 191 </w:t>
      </w:r>
      <w:r>
        <w:rPr>
          <w:rFonts w:hint="eastAsia" w:asciiTheme="minorEastAsia" w:hAnsiTheme="minorEastAsia" w:eastAsiaTheme="minorEastAsia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/>
        </w:rPr>
        <w:t>包装储运图示标志</w:t>
      </w:r>
    </w:p>
    <w:p>
      <w:pPr>
        <w:pStyle w:val="11"/>
        <w:spacing w:before="312" w:after="312"/>
        <w:ind w:left="0"/>
        <w:rPr>
          <w:rFonts w:ascii="Times New Roman"/>
        </w:rPr>
      </w:pPr>
      <w:bookmarkStart w:id="22" w:name="_Toc519233760"/>
      <w:bookmarkEnd w:id="22"/>
      <w:r>
        <w:rPr>
          <w:rFonts w:hint="eastAsia" w:ascii="Times New Roman"/>
          <w:lang w:val="en-US" w:eastAsia="zh-CN"/>
        </w:rPr>
        <w:t>概述</w:t>
      </w:r>
    </w:p>
    <w:p>
      <w:pPr>
        <w:pStyle w:val="6"/>
        <w:tabs>
          <w:tab w:val="clear" w:pos="4201"/>
          <w:tab w:val="clear" w:pos="9298"/>
        </w:tabs>
        <w:spacing w:line="360" w:lineRule="exact"/>
        <w:ind w:left="0"/>
        <w:rPr>
          <w:rFonts w:hint="eastAsia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本项目的提出符合国发【2015】28号《中国制造2025》提出的“战略任务和重点”中提出的“全面推行绿色制造，加快制造业绿色改造升级，大力促进新材料、新能源、高端装备、生物产业低碳发展”的绿色发展指导思想，是为支撑金属制品行业发展的需求而提出；符合国家《2025中国制造》推进“四基”发展的战略重点任务。</w:t>
      </w:r>
    </w:p>
    <w:p>
      <w:pPr>
        <w:pStyle w:val="11"/>
        <w:spacing w:before="312" w:after="312"/>
        <w:ind w:left="0"/>
        <w:rPr>
          <w:rFonts w:hint="default" w:ascii="Times New Roman"/>
          <w:szCs w:val="22"/>
          <w:lang w:val="en-US" w:eastAsia="zh-CN"/>
        </w:rPr>
      </w:pPr>
      <w:r>
        <w:rPr>
          <w:rFonts w:hint="eastAsia" w:ascii="Times New Roman"/>
          <w:szCs w:val="22"/>
          <w:lang w:val="en-US" w:eastAsia="zh-CN"/>
        </w:rPr>
        <w:t>标准编制说明的内容</w:t>
      </w:r>
    </w:p>
    <w:p>
      <w:pPr>
        <w:pStyle w:val="13"/>
        <w:spacing w:before="156" w:after="156"/>
        <w:rPr>
          <w:rFonts w:ascii="Times New Roman"/>
        </w:rPr>
      </w:pPr>
      <w:r>
        <w:rPr>
          <w:rFonts w:hint="eastAsia" w:ascii="Times New Roman"/>
          <w:lang w:val="en-US" w:eastAsia="zh-CN"/>
        </w:rPr>
        <w:t>目的意义</w:t>
      </w:r>
    </w:p>
    <w:p>
      <w:pPr>
        <w:pStyle w:val="6"/>
        <w:tabs>
          <w:tab w:val="clear" w:pos="4201"/>
          <w:tab w:val="clear" w:pos="9298"/>
        </w:tabs>
        <w:spacing w:line="360" w:lineRule="exact"/>
        <w:ind w:left="0"/>
        <w:rPr>
          <w:rFonts w:hint="eastAsia" w:hAnsi="宋体"/>
          <w:color w:val="000000" w:themeColor="text1"/>
          <w:kern w:val="2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kern w:val="2"/>
          <w:szCs w:val="24"/>
          <w:lang w:val="en-US" w:eastAsia="zh-CN"/>
          <w14:textFill>
            <w14:solidFill>
              <w14:schemeClr w14:val="tx1"/>
            </w14:solidFill>
          </w14:textFill>
        </w:rPr>
        <w:t>钢丝拉拔粉粒状润滑剂是金属制品行业不可或缺的辅助材料，随着金属制品生产的环保要求，粉粒状润滑剂的生产、性能、成分越来越多的受到关注，每年4万吨的粉粒润滑剂使用，国内外没有统一公开的产品标准，各厂家按企标生产，产品质量参差不齐，质量异议时有发生，制约了金属制品行业的高速精细化发展。为了提升金属制品质量，有利于润滑剂产品市场开发，确保生产、贮存、运输和使用过程中的可操作性和安全性，制定该产品的行业标准是非常必要的。</w:t>
      </w:r>
    </w:p>
    <w:p>
      <w:pPr>
        <w:pStyle w:val="6"/>
        <w:tabs>
          <w:tab w:val="clear" w:pos="4201"/>
          <w:tab w:val="clear" w:pos="9298"/>
        </w:tabs>
        <w:spacing w:line="360" w:lineRule="exact"/>
        <w:ind w:left="0"/>
        <w:rPr>
          <w:rFonts w:hAnsi="宋体"/>
          <w:color w:val="000000" w:themeColor="text1"/>
          <w:kern w:val="2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hAnsi="宋体"/>
          <w:color w:val="000000" w:themeColor="text1"/>
          <w:kern w:val="2"/>
          <w:szCs w:val="24"/>
          <w:lang w:val="en-US" w:eastAsia="zh-CN"/>
          <w14:textFill>
            <w14:solidFill>
              <w14:schemeClr w14:val="tx1"/>
            </w14:solidFill>
          </w14:textFill>
        </w:rPr>
        <w:t>为贯彻落实《中国制造 2025》和国家发展改革委、科技部、商务部、知识产权局联合发布的《当前优先发展的高技术产业化重点领域指南（2011 年度）》新材料领域的项目，推广环保钢丝拉拔润滑剂，迫切需要制订《钢丝拉拔粉粒润滑剂》标准</w:t>
      </w:r>
      <w:r>
        <w:rPr>
          <w:rFonts w:hint="eastAsia" w:hAnsi="宋体"/>
          <w:color w:val="000000" w:themeColor="text1"/>
          <w:kern w:val="2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pStyle w:val="13"/>
        <w:spacing w:before="156" w:after="156"/>
        <w:rPr>
          <w:rFonts w:ascii="Times New Roman"/>
        </w:rPr>
      </w:pPr>
      <w:r>
        <w:rPr>
          <w:rFonts w:hint="eastAsia" w:ascii="Times New Roman"/>
          <w:lang w:val="en-US" w:eastAsia="zh-CN"/>
        </w:rPr>
        <w:t>预期的社会经济效益</w:t>
      </w:r>
    </w:p>
    <w:p>
      <w:pPr>
        <w:pStyle w:val="6"/>
        <w:tabs>
          <w:tab w:val="clear" w:pos="4201"/>
          <w:tab w:val="clear" w:pos="9298"/>
        </w:tabs>
        <w:spacing w:line="360" w:lineRule="exact"/>
        <w:ind w:left="0"/>
        <w:rPr>
          <w:rFonts w:hAnsi="宋体"/>
          <w:kern w:val="2"/>
          <w:szCs w:val="24"/>
        </w:rPr>
      </w:pPr>
      <w:r>
        <w:rPr>
          <w:rFonts w:hint="eastAsia" w:hAnsi="宋体"/>
          <w:kern w:val="2"/>
          <w:szCs w:val="24"/>
        </w:rPr>
        <w:t>目前没有统一的产品标准，主要采用客户试用，提出技术要求或厂家按技术要求来组织生产和销售。随着国内生产厂家和产量的增加，</w:t>
      </w:r>
      <w:r>
        <w:rPr>
          <w:rFonts w:hint="eastAsia" w:hAnsi="宋体"/>
          <w:kern w:val="2"/>
          <w:szCs w:val="24"/>
          <w:lang w:val="en-US" w:eastAsia="zh-CN"/>
        </w:rPr>
        <w:t>制定</w:t>
      </w:r>
      <w:r>
        <w:rPr>
          <w:rFonts w:hint="eastAsia" w:hAnsi="宋体"/>
          <w:kern w:val="2"/>
          <w:szCs w:val="24"/>
        </w:rPr>
        <w:t>一个统一的行业标准，</w:t>
      </w:r>
      <w:r>
        <w:rPr>
          <w:rFonts w:hint="eastAsia" w:hAnsi="宋体"/>
          <w:kern w:val="2"/>
          <w:szCs w:val="24"/>
          <w:lang w:val="en-US" w:eastAsia="zh-CN"/>
        </w:rPr>
        <w:t>可以</w:t>
      </w:r>
      <w:r>
        <w:rPr>
          <w:rFonts w:hint="eastAsia" w:hAnsi="宋体"/>
          <w:kern w:val="2"/>
          <w:szCs w:val="24"/>
        </w:rPr>
        <w:t>规范生产、销售、使用的秩序，避免质量纠纷。</w:t>
      </w:r>
    </w:p>
    <w:p>
      <w:pPr>
        <w:pStyle w:val="13"/>
        <w:spacing w:before="156" w:after="156"/>
        <w:rPr>
          <w:rFonts w:ascii="Times New Roman"/>
        </w:rPr>
      </w:pPr>
      <w:r>
        <w:rPr>
          <w:rFonts w:hint="eastAsia" w:ascii="Times New Roman"/>
          <w:lang w:val="en-US" w:eastAsia="zh-CN"/>
        </w:rPr>
        <w:t>工作简况</w:t>
      </w:r>
    </w:p>
    <w:p>
      <w:pPr>
        <w:pStyle w:val="6"/>
        <w:tabs>
          <w:tab w:val="clear" w:pos="4201"/>
          <w:tab w:val="clear" w:pos="9298"/>
        </w:tabs>
        <w:spacing w:line="360" w:lineRule="exact"/>
        <w:ind w:left="0"/>
        <w:rPr>
          <w:rFonts w:hint="eastAsia" w:hAnsi="宋体"/>
          <w:kern w:val="2"/>
          <w:szCs w:val="24"/>
          <w:lang w:val="en-US" w:eastAsia="zh-CN"/>
        </w:rPr>
      </w:pPr>
      <w:r>
        <w:rPr>
          <w:rFonts w:hint="eastAsia" w:hAnsi="宋体"/>
          <w:kern w:val="2"/>
          <w:szCs w:val="24"/>
          <w:lang w:val="en-US" w:eastAsia="zh-CN"/>
        </w:rPr>
        <w:t>本标准由中国金属学会新材料团体标准化委员会提出并归口。</w:t>
      </w:r>
    </w:p>
    <w:p>
      <w:pPr>
        <w:pStyle w:val="6"/>
        <w:tabs>
          <w:tab w:val="clear" w:pos="4201"/>
          <w:tab w:val="clear" w:pos="9298"/>
        </w:tabs>
        <w:spacing w:line="360" w:lineRule="exact"/>
        <w:ind w:left="0"/>
        <w:rPr>
          <w:rFonts w:hAnsi="宋体"/>
          <w:kern w:val="2"/>
          <w:szCs w:val="24"/>
        </w:rPr>
      </w:pPr>
      <w:r>
        <w:rPr>
          <w:rFonts w:hint="eastAsia" w:hAnsi="宋体"/>
          <w:kern w:val="2"/>
          <w:szCs w:val="24"/>
          <w:lang w:val="en-US" w:eastAsia="zh-CN"/>
        </w:rPr>
        <w:t>该标准项目目前未有国际标准或国外先进标准。</w:t>
      </w:r>
    </w:p>
    <w:p>
      <w:pPr>
        <w:pStyle w:val="13"/>
        <w:spacing w:before="156" w:after="156"/>
        <w:rPr>
          <w:rFonts w:ascii="Times New Roman"/>
        </w:rPr>
      </w:pPr>
      <w:r>
        <w:rPr>
          <w:rFonts w:hint="eastAsia" w:ascii="Times New Roman"/>
          <w:lang w:val="en-US" w:eastAsia="zh-CN"/>
        </w:rPr>
        <w:t>标准编制的原则</w:t>
      </w:r>
    </w:p>
    <w:p>
      <w:pPr>
        <w:pStyle w:val="6"/>
        <w:tabs>
          <w:tab w:val="clear" w:pos="4201"/>
          <w:tab w:val="clear" w:pos="9298"/>
        </w:tabs>
        <w:spacing w:line="360" w:lineRule="exact"/>
        <w:ind w:left="0"/>
        <w:rPr>
          <w:rFonts w:hint="eastAsia" w:hAnsi="宋体"/>
          <w:kern w:val="2"/>
          <w:szCs w:val="24"/>
          <w:lang w:val="en-US" w:eastAsia="zh-CN"/>
        </w:rPr>
      </w:pPr>
      <w:r>
        <w:rPr>
          <w:rFonts w:hint="eastAsia" w:hAnsi="宋体"/>
          <w:kern w:val="2"/>
          <w:szCs w:val="24"/>
          <w:lang w:val="en-US" w:eastAsia="zh-CN"/>
        </w:rPr>
        <w:t>本标准按照GB/T 1.1—2009 《标准化工作导则 第1部分：标准的结构和编写》及GB/T 20004.1—2016 《团体化标准》给出的规则起草。</w:t>
      </w:r>
    </w:p>
    <w:p>
      <w:pPr>
        <w:pStyle w:val="13"/>
        <w:spacing w:before="156" w:after="156"/>
        <w:rPr>
          <w:rFonts w:ascii="Times New Roman"/>
        </w:rPr>
      </w:pPr>
      <w:r>
        <w:rPr>
          <w:rFonts w:hint="eastAsia" w:ascii="Times New Roman"/>
          <w:lang w:val="en-US" w:eastAsia="zh-CN"/>
        </w:rPr>
        <w:t>确定标准主要技术内容依据</w:t>
      </w:r>
    </w:p>
    <w:p>
      <w:pPr>
        <w:pStyle w:val="6"/>
        <w:tabs>
          <w:tab w:val="clear" w:pos="4201"/>
          <w:tab w:val="clear" w:pos="9298"/>
        </w:tabs>
        <w:spacing w:line="360" w:lineRule="exact"/>
        <w:ind w:left="0"/>
        <w:rPr>
          <w:rFonts w:hint="eastAsia" w:hAnsi="宋体"/>
          <w:kern w:val="2"/>
          <w:szCs w:val="24"/>
          <w:lang w:val="en-US" w:eastAsia="zh-CN"/>
        </w:rPr>
      </w:pPr>
      <w:r>
        <w:rPr>
          <w:rFonts w:hint="eastAsia" w:hAnsi="宋体"/>
          <w:kern w:val="2"/>
          <w:szCs w:val="24"/>
          <w:lang w:val="en-US" w:eastAsia="zh-CN"/>
        </w:rPr>
        <w:t>参照冶金工业部金属制品研究院企业标准 Q/JSZP.J006-1998  钢丝拉拔用粉粒状润滑剂、欧盟 REACH 指令和 RoHS 指令确定了下列技术要求，技术要求中确定了外观、堆密度、粒度、流动角、水分、灰分、软化温度、脂肪酸含量以及有害物质。</w:t>
      </w:r>
    </w:p>
    <w:p>
      <w:pPr>
        <w:pStyle w:val="6"/>
        <w:tabs>
          <w:tab w:val="clear" w:pos="4201"/>
          <w:tab w:val="clear" w:pos="9298"/>
        </w:tabs>
        <w:spacing w:line="360" w:lineRule="exact"/>
        <w:ind w:left="0"/>
        <w:rPr>
          <w:rFonts w:hint="default" w:hAnsi="宋体"/>
          <w:kern w:val="2"/>
          <w:szCs w:val="24"/>
          <w:lang w:val="en-US" w:eastAsia="zh-CN"/>
        </w:rPr>
      </w:pPr>
      <w:r>
        <w:rPr>
          <w:rFonts w:hint="eastAsia" w:hAnsi="宋体"/>
          <w:kern w:val="2"/>
          <w:szCs w:val="24"/>
          <w:lang w:val="en-US" w:eastAsia="zh-CN"/>
        </w:rPr>
        <w:t>和本行业代表企业征集意见后，增加了摩擦系数、硼砂含量、亚硝酸盐硼砂含量以及水溶性、溶液pH值等技术要求，删除了“订货内容”，此项不作强制规定，由厂家和客户共同协商确定。</w:t>
      </w:r>
    </w:p>
    <w:p>
      <w:pPr>
        <w:pStyle w:val="13"/>
        <w:spacing w:before="156" w:after="156"/>
        <w:rPr>
          <w:rFonts w:ascii="Times New Roman"/>
        </w:rPr>
      </w:pPr>
      <w:r>
        <w:rPr>
          <w:rFonts w:hint="eastAsia" w:ascii="Times New Roman"/>
          <w:lang w:val="en-US" w:eastAsia="zh-CN"/>
        </w:rPr>
        <w:t>主要试验或验证结果分析</w:t>
      </w:r>
    </w:p>
    <w:p>
      <w:pPr>
        <w:pStyle w:val="6"/>
        <w:tabs>
          <w:tab w:val="clear" w:pos="4201"/>
          <w:tab w:val="clear" w:pos="9298"/>
        </w:tabs>
        <w:spacing w:line="360" w:lineRule="exact"/>
        <w:ind w:left="0"/>
        <w:rPr>
          <w:rFonts w:hint="eastAsia" w:hAnsi="宋体"/>
          <w:kern w:val="2"/>
          <w:szCs w:val="24"/>
          <w:lang w:val="en-US" w:eastAsia="zh-CN"/>
        </w:rPr>
      </w:pPr>
      <w:r>
        <w:rPr>
          <w:rFonts w:hint="eastAsia" w:hAnsi="宋体"/>
          <w:kern w:val="2"/>
          <w:szCs w:val="24"/>
          <w:lang w:val="en-US" w:eastAsia="zh-CN"/>
        </w:rPr>
        <w:t>描述比对试验主要试验或验证结果分析。</w:t>
      </w:r>
    </w:p>
    <w:p>
      <w:pPr>
        <w:pStyle w:val="13"/>
        <w:spacing w:before="156" w:after="156"/>
        <w:rPr>
          <w:rFonts w:ascii="Times New Roman"/>
        </w:rPr>
      </w:pPr>
      <w:r>
        <w:rPr>
          <w:rFonts w:hint="eastAsia" w:ascii="Times New Roman"/>
          <w:lang w:val="en-US" w:eastAsia="zh-CN"/>
        </w:rPr>
        <w:t>采用国际标准和国外先进标准的情况，与国际、国外同类标准水平的对比情况</w:t>
      </w:r>
    </w:p>
    <w:p>
      <w:pPr>
        <w:pStyle w:val="6"/>
        <w:tabs>
          <w:tab w:val="clear" w:pos="4201"/>
          <w:tab w:val="clear" w:pos="9298"/>
        </w:tabs>
        <w:spacing w:line="360" w:lineRule="exact"/>
        <w:ind w:left="0"/>
        <w:rPr>
          <w:rFonts w:hint="eastAsia" w:hAnsi="宋体"/>
          <w:kern w:val="2"/>
          <w:szCs w:val="24"/>
          <w:lang w:val="en-US" w:eastAsia="zh-CN"/>
        </w:rPr>
      </w:pPr>
      <w:r>
        <w:rPr>
          <w:rFonts w:hint="eastAsia" w:hAnsi="宋体"/>
          <w:kern w:val="2"/>
          <w:szCs w:val="24"/>
          <w:lang w:val="en-US" w:eastAsia="zh-CN"/>
        </w:rPr>
        <w:t>该标准项目目前未有国际标准或国外先进标准。</w:t>
      </w:r>
    </w:p>
    <w:p>
      <w:pPr>
        <w:pStyle w:val="13"/>
        <w:spacing w:before="156" w:after="156"/>
        <w:rPr>
          <w:rFonts w:ascii="Times New Roman"/>
        </w:rPr>
      </w:pPr>
      <w:r>
        <w:rPr>
          <w:rFonts w:hint="eastAsia" w:ascii="Times New Roman"/>
          <w:lang w:val="en-US" w:eastAsia="zh-CN"/>
        </w:rPr>
        <w:t>与有关的现行法律、法规和强制性标准的关系</w:t>
      </w:r>
    </w:p>
    <w:p>
      <w:pPr>
        <w:pStyle w:val="6"/>
        <w:tabs>
          <w:tab w:val="clear" w:pos="4201"/>
          <w:tab w:val="clear" w:pos="9298"/>
        </w:tabs>
        <w:spacing w:line="360" w:lineRule="exact"/>
        <w:ind w:left="0"/>
        <w:rPr>
          <w:rFonts w:hint="eastAsia" w:hAnsi="宋体"/>
          <w:kern w:val="2"/>
          <w:szCs w:val="24"/>
          <w:lang w:val="en-US" w:eastAsia="zh-CN"/>
        </w:rPr>
      </w:pPr>
      <w:r>
        <w:rPr>
          <w:rFonts w:hint="eastAsia" w:hAnsi="宋体"/>
          <w:kern w:val="2"/>
          <w:szCs w:val="24"/>
          <w:lang w:val="en-US" w:eastAsia="zh-CN"/>
        </w:rPr>
        <w:t>无。</w:t>
      </w:r>
    </w:p>
    <w:p>
      <w:pPr>
        <w:pStyle w:val="13"/>
        <w:spacing w:before="156" w:after="156"/>
        <w:rPr>
          <w:rFonts w:ascii="Times New Roman"/>
        </w:rPr>
      </w:pPr>
      <w:r>
        <w:rPr>
          <w:rFonts w:hint="eastAsia" w:ascii="Times New Roman"/>
          <w:lang w:val="en-US" w:eastAsia="zh-CN"/>
        </w:rPr>
        <w:t>重大分歧意见的处理经过和依据</w:t>
      </w:r>
    </w:p>
    <w:p>
      <w:pPr>
        <w:pStyle w:val="6"/>
        <w:tabs>
          <w:tab w:val="clear" w:pos="4201"/>
          <w:tab w:val="clear" w:pos="9298"/>
        </w:tabs>
        <w:spacing w:line="360" w:lineRule="exact"/>
        <w:ind w:left="0"/>
        <w:rPr>
          <w:rFonts w:hint="eastAsia" w:hAnsi="宋体"/>
          <w:kern w:val="2"/>
          <w:szCs w:val="24"/>
          <w:lang w:val="en-US" w:eastAsia="zh-CN"/>
        </w:rPr>
      </w:pPr>
      <w:r>
        <w:rPr>
          <w:rFonts w:hint="eastAsia" w:hAnsi="宋体"/>
          <w:kern w:val="2"/>
          <w:szCs w:val="24"/>
          <w:lang w:val="en-US" w:eastAsia="zh-CN"/>
        </w:rPr>
        <w:t>订货内容一项不作强制规定，由厂家和客户共同协商确定。</w:t>
      </w:r>
    </w:p>
    <w:p>
      <w:pPr>
        <w:pStyle w:val="13"/>
        <w:spacing w:before="156" w:after="156"/>
        <w:rPr>
          <w:rFonts w:hint="eastAsia"/>
          <w:lang w:val="en-US" w:eastAsia="zh-CN"/>
        </w:rPr>
      </w:pPr>
      <w:r>
        <w:rPr>
          <w:rFonts w:hint="eastAsia" w:ascii="Times New Roman"/>
          <w:lang w:val="en-US" w:eastAsia="zh-CN"/>
        </w:rPr>
        <w:t>贯彻标准的要求和措施建议</w:t>
      </w:r>
    </w:p>
    <w:p>
      <w:pPr>
        <w:pStyle w:val="6"/>
        <w:tabs>
          <w:tab w:val="clear" w:pos="4201"/>
          <w:tab w:val="clear" w:pos="9298"/>
        </w:tabs>
        <w:spacing w:line="360" w:lineRule="exact"/>
        <w:ind w:left="0"/>
        <w:rPr>
          <w:rFonts w:hint="eastAsia" w:hAnsi="宋体"/>
          <w:kern w:val="2"/>
          <w:szCs w:val="24"/>
          <w:lang w:val="en-US" w:eastAsia="zh-CN"/>
        </w:rPr>
      </w:pPr>
      <w:r>
        <w:rPr>
          <w:rFonts w:hint="eastAsia" w:hAnsi="宋体"/>
          <w:kern w:val="2"/>
          <w:szCs w:val="24"/>
          <w:lang w:val="en-US" w:eastAsia="zh-CN"/>
        </w:rPr>
        <w:t>无。</w:t>
      </w:r>
    </w:p>
    <w:p>
      <w:pPr>
        <w:pStyle w:val="13"/>
        <w:spacing w:before="156" w:after="156"/>
        <w:rPr>
          <w:rFonts w:hint="eastAsia"/>
          <w:lang w:val="en-US" w:eastAsia="zh-CN"/>
        </w:rPr>
      </w:pPr>
      <w:r>
        <w:rPr>
          <w:rFonts w:hint="eastAsia" w:ascii="Times New Roman"/>
          <w:lang w:val="en-US" w:eastAsia="zh-CN"/>
        </w:rPr>
        <w:t>其他应予以说明的事项</w:t>
      </w:r>
    </w:p>
    <w:p>
      <w:pPr>
        <w:pStyle w:val="6"/>
        <w:tabs>
          <w:tab w:val="clear" w:pos="4201"/>
          <w:tab w:val="clear" w:pos="9298"/>
        </w:tabs>
        <w:spacing w:line="360" w:lineRule="exact"/>
        <w:ind w:left="0"/>
        <w:rPr>
          <w:rFonts w:hint="eastAsia" w:hAnsi="宋体"/>
          <w:kern w:val="2"/>
          <w:szCs w:val="24"/>
          <w:lang w:val="en-US" w:eastAsia="zh-CN"/>
        </w:rPr>
      </w:pPr>
      <w:r>
        <w:rPr>
          <w:rFonts w:hint="eastAsia" w:hAnsi="宋体"/>
          <w:kern w:val="2"/>
          <w:szCs w:val="24"/>
          <w:lang w:val="en-US" w:eastAsia="zh-CN"/>
        </w:rPr>
        <w:t>无。</w:t>
      </w:r>
    </w:p>
    <w:p>
      <w:pPr>
        <w:spacing w:beforeLines="50" w:afterLines="50"/>
        <w:ind w:left="0" w:firstLine="315" w:firstLineChars="150"/>
        <w:rPr>
          <w:rFonts w:asciiTheme="minorEastAsia" w:hAnsiTheme="minorEastAsia" w:eastAsiaTheme="minorEastAsia"/>
          <w:szCs w:val="21"/>
        </w:rPr>
      </w:pPr>
    </w:p>
    <w:p>
      <w:pPr>
        <w:spacing w:beforeLines="50" w:afterLines="50"/>
        <w:ind w:left="0" w:firstLine="315" w:firstLineChars="150"/>
        <w:rPr>
          <w:rFonts w:asciiTheme="minorEastAsia" w:hAnsiTheme="minorEastAsia" w:eastAsiaTheme="minorEastAsia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567" w:right="1134" w:bottom="1134" w:left="1418" w:header="1418" w:footer="1134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425" w:num="1"/>
          <w:formProt w:val="0"/>
          <w:docGrid w:type="lines" w:linePitch="312" w:charSpace="0"/>
        </w:sectPr>
      </w:pPr>
    </w:p>
    <w:p>
      <w:pPr>
        <w:pStyle w:val="5"/>
        <w:spacing w:before="851" w:after="284"/>
        <w:ind w:left="0"/>
        <w:rPr>
          <w:rFonts w:ascii="Times New Roman"/>
        </w:rPr>
      </w:pPr>
      <w:bookmarkStart w:id="23" w:name="_Toc19067"/>
      <w:r>
        <w:rPr>
          <w:rFonts w:ascii="Times New Roman"/>
        </w:rPr>
        <w:br w:type="textWrapping"/>
      </w:r>
      <w:bookmarkStart w:id="24" w:name="_Toc519540565"/>
      <w:bookmarkStart w:id="25" w:name="_Toc520052967"/>
      <w:bookmarkStart w:id="26" w:name="_Toc519540511"/>
      <w:bookmarkStart w:id="27" w:name="_Toc520052908"/>
      <w:bookmarkStart w:id="28" w:name="_Toc531638010"/>
      <w:bookmarkStart w:id="29" w:name="_Toc531637996"/>
      <w:bookmarkStart w:id="30" w:name="_Toc22451388"/>
      <w:bookmarkStart w:id="31" w:name="_Toc22451407"/>
      <w:r>
        <w:rPr>
          <w:rFonts w:ascii="Times New Roman"/>
        </w:rPr>
        <w:t>（资料性附录）</w:t>
      </w:r>
      <w:r>
        <w:rPr>
          <w:rFonts w:ascii="Times New Roman"/>
        </w:rPr>
        <w:br w:type="textWrapping"/>
      </w:r>
      <w:r>
        <w:rPr>
          <w:rFonts w:hint="eastAsia" w:ascii="Times New Roman"/>
          <w:lang w:val="en-US" w:eastAsia="zh-CN"/>
        </w:rPr>
        <w:t>标准起草单位和主要起草人</w:t>
      </w:r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本标准起草单位：中钢集团郑州金属制品研究院有限公司、常州市实创润滑剂有限公司、江苏兴达钢帘线股份有限公司、巩义市恒铭金属制品有限公司、湖北恒鑫化工有限公司。</w:t>
      </w:r>
      <w:bookmarkStart w:id="32" w:name="_GoBack"/>
      <w:bookmarkEnd w:id="32"/>
    </w:p>
    <w:sectPr>
      <w:headerReference r:id="rId7" w:type="default"/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50617503"/>
      <w:docPartObj>
        <w:docPartGallery w:val="autotext"/>
      </w:docPartObj>
    </w:sdtPr>
    <w:sdtContent>
      <w:p>
        <w:pPr>
          <w:pStyle w:val="2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69263230"/>
      <w:docPartObj>
        <w:docPartGallery w:val="autotext"/>
      </w:docPartObj>
    </w:sdtPr>
    <w:sdtContent>
      <w:p>
        <w:pPr>
          <w:pStyle w:val="2"/>
          <w:jc w:val="lef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10</w:t>
        </w:r>
        <w:r>
          <w:fldChar w:fldCharType="end"/>
        </w:r>
      </w:p>
    </w:sdtContent>
  </w:sdt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50617503"/>
      <w:docPartObj>
        <w:docPartGallery w:val="autotext"/>
      </w:docPartObj>
    </w:sdtPr>
    <w:sdtContent>
      <w:p>
        <w:pPr>
          <w:pStyle w:val="2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15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hint="eastAsia"/>
      </w:rPr>
      <w:t>T</w:t>
    </w:r>
    <w:r>
      <w:t>/</w:t>
    </w:r>
    <w:r>
      <w:rPr>
        <w:rFonts w:hint="eastAsia"/>
      </w:rPr>
      <w:t>CSM</w:t>
    </w:r>
    <w:r>
      <w:t xml:space="preserve">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jc w:val="left"/>
    </w:pPr>
    <w:r>
      <w:rPr>
        <w:rFonts w:hint="eastAsia"/>
      </w:rPr>
      <w:t>T</w:t>
    </w:r>
    <w:r>
      <w:t>/</w:t>
    </w:r>
    <w:r>
      <w:rPr>
        <w:rFonts w:hint="eastAsia"/>
      </w:rPr>
      <w:t>CSM</w:t>
    </w:r>
    <w:r>
      <w:t xml:space="preserve"> XXXXX—XXXX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hint="eastAsia"/>
      </w:rPr>
      <w:t>T</w:t>
    </w:r>
    <w:r>
      <w:t>/</w:t>
    </w:r>
    <w:r>
      <w:rPr>
        <w:rFonts w:hint="eastAsia"/>
      </w:rPr>
      <w:t>CSM</w:t>
    </w:r>
    <w:r>
      <w:t xml:space="preserve">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F561E"/>
    <w:multiLevelType w:val="multilevel"/>
    <w:tmpl w:val="234F561E"/>
    <w:lvl w:ilvl="0" w:tentative="0">
      <w:start w:val="1"/>
      <w:numFmt w:val="decimal"/>
      <w:pStyle w:val="11"/>
      <w:suff w:val="nothing"/>
      <w:lvlText w:val="%1　"/>
      <w:lvlJc w:val="left"/>
      <w:pPr>
        <w:ind w:left="1985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13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color w:val="000000" w:themeColor="text1"/>
        <w:sz w:val="21"/>
        <w14:textFill>
          <w14:solidFill>
            <w14:schemeClr w14:val="tx1"/>
          </w14:solidFill>
        </w14:textFill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657D3FBC"/>
    <w:multiLevelType w:val="multilevel"/>
    <w:tmpl w:val="657D3FBC"/>
    <w:lvl w:ilvl="0" w:tentative="0">
      <w:start w:val="1"/>
      <w:numFmt w:val="upperLetter"/>
      <w:pStyle w:val="5"/>
      <w:suff w:val="nothing"/>
      <w:lvlText w:val="附　录　%1"/>
      <w:lvlJc w:val="left"/>
      <w:pPr>
        <w:ind w:left="3544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7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8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9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B86462"/>
    <w:rsid w:val="079A15CD"/>
    <w:rsid w:val="0853755C"/>
    <w:rsid w:val="1C4B0B19"/>
    <w:rsid w:val="1E1E2666"/>
    <w:rsid w:val="23052F33"/>
    <w:rsid w:val="3DC2351F"/>
    <w:rsid w:val="441814A9"/>
    <w:rsid w:val="597202AD"/>
    <w:rsid w:val="613C3038"/>
    <w:rsid w:val="641F4DBF"/>
    <w:rsid w:val="66B86462"/>
    <w:rsid w:val="679141BB"/>
    <w:rsid w:val="71E7361C"/>
    <w:rsid w:val="72C357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snapToGrid w:val="0"/>
      <w:ind w:right="210" w:rightChars="100"/>
      <w:jc w:val="right"/>
    </w:pPr>
    <w:rPr>
      <w:sz w:val="18"/>
      <w:szCs w:val="18"/>
    </w:rPr>
  </w:style>
  <w:style w:type="paragraph" w:customStyle="1" w:styleId="5">
    <w:name w:val="附录标识"/>
    <w:basedOn w:val="1"/>
    <w:next w:val="6"/>
    <w:qFormat/>
    <w:uiPriority w:val="0"/>
    <w:pPr>
      <w:keepNext/>
      <w:widowControl/>
      <w:numPr>
        <w:ilvl w:val="0"/>
        <w:numId w:val="1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6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left="420"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7">
    <w:name w:val="附录章标题"/>
    <w:next w:val="6"/>
    <w:qFormat/>
    <w:uiPriority w:val="0"/>
    <w:pPr>
      <w:numPr>
        <w:ilvl w:val="1"/>
        <w:numId w:val="1"/>
      </w:numPr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">
    <w:name w:val="附录一级条标题"/>
    <w:basedOn w:val="7"/>
    <w:next w:val="6"/>
    <w:qFormat/>
    <w:uiPriority w:val="0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9">
    <w:name w:val="附录二级条标题"/>
    <w:basedOn w:val="1"/>
    <w:next w:val="6"/>
    <w:qFormat/>
    <w:uiPriority w:val="0"/>
    <w:pPr>
      <w:widowControl/>
      <w:numPr>
        <w:ilvl w:val="3"/>
        <w:numId w:val="1"/>
      </w:numPr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10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ind w:left="4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1">
    <w:name w:val="章标题"/>
    <w:next w:val="6"/>
    <w:qFormat/>
    <w:uiPriority w:val="0"/>
    <w:pPr>
      <w:numPr>
        <w:ilvl w:val="0"/>
        <w:numId w:val="2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2">
    <w:name w:val="前言、引言标题"/>
    <w:next w:val="6"/>
    <w:qFormat/>
    <w:uiPriority w:val="0"/>
    <w:pPr>
      <w:keepNext/>
      <w:pageBreakBefore/>
      <w:shd w:val="clear" w:color="FFFFFF" w:fill="FFFFFF"/>
      <w:spacing w:before="640" w:after="560"/>
      <w:ind w:left="42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3">
    <w:name w:val="一级条标题"/>
    <w:next w:val="6"/>
    <w:qFormat/>
    <w:uiPriority w:val="0"/>
    <w:pPr>
      <w:numPr>
        <w:ilvl w:val="1"/>
        <w:numId w:val="2"/>
      </w:numPr>
      <w:spacing w:beforeLines="50" w:afterLines="50"/>
      <w:jc w:val="both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2020-11-04T07:55:00Z</dcterms:created>
  <dc:creator>王大爷</dc:creator>
  <cp:lastModifiedBy>王大爷</cp:lastModifiedBy>
  <dcterms:modified xsi:type="dcterms:W3CDTF">2020-11-09T08:59:55Z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